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49" w:rsidRPr="00981A65" w:rsidRDefault="00B055F1" w:rsidP="00C659F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30</w:t>
      </w:r>
      <w:r w:rsidR="00DA5149" w:rsidRPr="00981A65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81A65">
        <w:rPr>
          <w:rFonts w:ascii="GHEA Grapalat" w:eastAsia="Times New Roman" w:hAnsi="GHEA Grapalat" w:cs="Sylfaen"/>
          <w:sz w:val="16"/>
          <w:szCs w:val="16"/>
        </w:rPr>
        <w:t>է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81A6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81A6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309D2" w:rsidRDefault="00B055F1" w:rsidP="007309D2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7309D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309D2" w:rsidRDefault="00D45F52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81A65" w:rsidRDefault="00113C7C" w:rsidP="00C659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309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DA5149" w:rsidRPr="00981A65" w:rsidRDefault="00DA5149" w:rsidP="00C659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81A65" w:rsidRDefault="00C61C6B" w:rsidP="00CD4B3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64C43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ԻՐԱՎԱ</w:t>
      </w:r>
      <w:r w:rsidR="00DC29D8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ԿԱՆ</w:t>
      </w:r>
      <w:r w:rsidR="00164C43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ԱՋԱԿՑՈՒԹՅԱՆ ԵՎ ՓԱՍՏԱԹՂԹԱՇՐՋԱՆԱՌՈՒԹՅԱՆ</w:t>
      </w:r>
      <w:r w:rsidR="008C7304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ՎԱՐՉՈՒԹՅԱՆ ՊԵՏ</w:t>
      </w:r>
    </w:p>
    <w:p w:rsidR="00113C7C" w:rsidRPr="00981A65" w:rsidRDefault="00113C7C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81A65" w:rsidRDefault="00113C7C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981A65" w:rsidRPr="00981A6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81A6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981A65" w:rsidRPr="00BD6928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Pr="00BD6928" w:rsidRDefault="003C5E15" w:rsidP="00CD4B3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81A6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64C43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</w:t>
            </w:r>
            <w:r w:rsidR="00DC29D8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64C43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աջակցության և փաստաթղթաշրջանառության 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E2AF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</w:t>
            </w:r>
            <w:r w:rsidR="00113C7C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81A6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A5149" w:rsidRPr="00981A65">
              <w:rPr>
                <w:rFonts w:ascii="GHEA Grapalat" w:hAnsi="GHEA Grapalat"/>
                <w:sz w:val="24"/>
                <w:szCs w:val="24"/>
              </w:rPr>
              <w:t>70-</w:t>
            </w:r>
            <w:r w:rsidR="00164C43" w:rsidRPr="00981A65">
              <w:rPr>
                <w:rFonts w:ascii="GHEA Grapalat" w:hAnsi="GHEA Grapalat"/>
                <w:sz w:val="24"/>
                <w:szCs w:val="24"/>
              </w:rPr>
              <w:t>2</w:t>
            </w:r>
            <w:r w:rsidR="00DA5149" w:rsidRPr="00981A65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164C43" w:rsidRPr="00981A65">
              <w:rPr>
                <w:rFonts w:ascii="GHEA Grapalat" w:hAnsi="GHEA Grapalat"/>
                <w:sz w:val="24"/>
                <w:szCs w:val="24"/>
              </w:rPr>
              <w:t>.5</w:t>
            </w:r>
            <w:r w:rsidR="00C61C6B" w:rsidRPr="00981A65">
              <w:rPr>
                <w:rFonts w:ascii="GHEA Grapalat" w:hAnsi="GHEA Grapalat"/>
                <w:sz w:val="24"/>
                <w:szCs w:val="24"/>
              </w:rPr>
              <w:t>-Ղ3-1)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D6921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Վարչության պետն անմիջական </w:t>
            </w:r>
            <w:r w:rsidR="00334754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ենթակա  </w:t>
            </w:r>
            <w:r w:rsidR="00ED6921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և հաշվետու է Տեսչական մարմնի ղեկավարին. 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պետին  </w:t>
            </w:r>
            <w:r w:rsidR="00ED692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ենթակա և հաշվետու են 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Վարչության </w:t>
            </w:r>
            <w:r w:rsidR="009F7F62" w:rsidRPr="00981A65">
              <w:rPr>
                <w:rFonts w:ascii="GHEA Grapalat" w:hAnsi="GHEA Grapalat"/>
                <w:sz w:val="24"/>
              </w:rPr>
              <w:t>բաժն</w:t>
            </w:r>
            <w:r w:rsidR="008C7304" w:rsidRPr="00981A65">
              <w:rPr>
                <w:rFonts w:ascii="GHEA Grapalat" w:hAnsi="GHEA Grapalat"/>
                <w:sz w:val="24"/>
              </w:rPr>
              <w:t>ի պետերը</w:t>
            </w:r>
            <w:r w:rsidR="00AA4C3B" w:rsidRPr="00981A65">
              <w:rPr>
                <w:rFonts w:ascii="GHEA Grapalat" w:hAnsi="GHEA Grapalat"/>
                <w:sz w:val="24"/>
              </w:rPr>
              <w:t>.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1.4.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պետի  </w:t>
            </w:r>
            <w:r w:rsidR="00AA4C3B" w:rsidRPr="00981A65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Վարչության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իրավաբանական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CC37A1" w:rsidRPr="00981A65">
              <w:rPr>
                <w:rFonts w:ascii="GHEA Grapalat" w:hAnsi="GHEA Grapalat"/>
                <w:sz w:val="24"/>
              </w:rPr>
              <w:t>բաժն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ի </w:t>
            </w:r>
            <w:r w:rsidR="00851FCD" w:rsidRPr="00981A65">
              <w:rPr>
                <w:rFonts w:ascii="GHEA Grapalat" w:hAnsi="GHEA Grapalat"/>
                <w:sz w:val="24"/>
              </w:rPr>
              <w:t>պետ</w:t>
            </w:r>
            <w:r w:rsidR="008C7304" w:rsidRPr="00981A65">
              <w:rPr>
                <w:rFonts w:ascii="GHEA Grapalat" w:hAnsi="GHEA Grapalat"/>
                <w:sz w:val="24"/>
              </w:rPr>
              <w:t>ը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կամ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Վարչության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փաստաթղթաշրջանառության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բաժնի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պետը</w:t>
            </w:r>
            <w:r w:rsidR="008C7304" w:rsidRPr="00981A65">
              <w:rPr>
                <w:rFonts w:ascii="GHEA Grapalat" w:hAnsi="GHEA Grapalat"/>
                <w:sz w:val="24"/>
              </w:rPr>
              <w:t>.</w:t>
            </w:r>
            <w:r w:rsidR="00BD6928" w:rsidRPr="00BD69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981A65" w:rsidRDefault="003C5E15" w:rsidP="00C659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7060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1.5.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Pr="00D7060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Հայաստան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ք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. </w:t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Երևան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082CFD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իր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DA514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Կոմիտաս</w:t>
            </w:r>
            <w:r w:rsidR="00DA514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49/</w:t>
            </w:r>
            <w:r w:rsidR="00DA514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2</w:t>
            </w:r>
          </w:p>
        </w:tc>
      </w:tr>
      <w:tr w:rsidR="00981A65" w:rsidRPr="00D50D0B" w:rsidTr="001237C6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981A65" w:rsidRDefault="007C5CD9" w:rsidP="00C659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981A65" w:rsidRDefault="007C5CD9" w:rsidP="00C659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981A6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981A6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00101D" w:rsidRPr="00981A65" w:rsidRDefault="0000101D" w:rsidP="00C659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Տեսչական մարմնի ստորաբաժանումների կողմից մշակված իրավական ակտերի նախագծերի իրավական փորձաքննության 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lastRenderedPageBreak/>
              <w:t>իրականաց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Հայաստանի Հանրապետության կառավարությունից, նախարարություններից և այլ մարմիններից ստացված օրենքների և իրավական այլ ակտերի նախագծերի վերաբերյալ կարծիքների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իրավական ակտերի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ստուգման ակտերի նախագծերի վերաբերյալ առաջարկություների ներկայաց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 և դրա հիման վրա համապատասխան պատասխանատու ստորաբաժանումներին առաջարկությունների ներկայաց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կազմ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ստորաբաժանումներին իրավական աջակցության և խորհրդատվության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կազմման աշխատանքները.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քննությանը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Վարչության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մասնակցությունը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ինչպես նաև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գործերով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պատրաստման աշխատանքները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կազմման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նկատմամբ</w:t>
            </w:r>
            <w:r w:rsidR="00D369C0" w:rsidRPr="00981A65">
              <w:rPr>
                <w:sz w:val="24"/>
                <w:szCs w:val="24"/>
                <w:lang w:val="hy-AM"/>
              </w:rPr>
              <w:t xml:space="preserve">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այլն իրավական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ապահովման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0A44E5" w:rsidRPr="00981A65" w:rsidRDefault="00AA44F3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իրականացնում է մեթոդական ղեկավարում 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="00BD423B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ծ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ընթացների պատշաճ իրականացման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նկատմամբ.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խմբերին </w:t>
            </w:r>
            <w:r w:rsidR="00FB17E6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դիրքորոշման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միության անդամակցությունից բխող իրավական ակտերի մշակմանը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պարզաբանումների 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իրավասության սահմաններում Տեսչական մարմնի կողմից իրականացվող պետական  վերահսկողությանը և վարչական վարույթներին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ինչպես նաև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դրանց առնչվող փաստաթղթերի նախագծերի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նախապատրաստման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աջակցության ցուցաբերման և դրանց վերաբերյալ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առաջարկությունների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2741A8" w:rsidRPr="00981A65" w:rsidRDefault="00FB17E6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աշխատանքները. </w:t>
            </w:r>
          </w:p>
          <w:p w:rsidR="002741A8" w:rsidRPr="00981A65" w:rsidRDefault="002741A8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ապահովում 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2741A8" w:rsidRPr="00981A65" w:rsidRDefault="002741A8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FB17E6" w:rsidRPr="00981A65" w:rsidRDefault="00FB17E6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Տեսչական մարմնի ղեկավարի,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մտից փաստաթղթերի գրանցման, համարակալման և թղթային, փոստային առաքման աշխատանքների իրականացում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ելից փաստաթղթերի համարակալման և թղթային, փոստային առաքման աշախատանքների իրականացում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կողմից ստորագրված հրամանների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935C4C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արխիվ հանձնվող փաստաթղթերի հաշվառման և պահպանման </w:t>
            </w:r>
            <w:r w:rsidR="0031434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935C4C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31434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քաղաքացիների կողմից ստացված դիմումների, առաջարկությունների և բողոքների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առաքման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A44F3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Հանրապետության Նախագահի, Ազգային ժողովի, վարչապետի աշխատակազմերից ստացված հանձնարարականների, նախարարություններից և այլ պետական մարմիններից, կազմակերպություններից ստացված փաստաթղթերի փաստաթղթաշրջանառության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735C38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Խորհրդի նիստի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նյութերի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արձանագրությունների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կազմման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Վարչությունում հաշվառված հանձնարարականների կատարման ընթացքի մասին Տեսչական մարմնի ղեկավարին ժամկետանց և կատարվելիք ամփոփաթերթերի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369C0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մեկ ամսվա կտրվածքով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արչությունում հաշվառված հանձնարականների կատարման ընթացքի մասին վերլուծական տեղեկանքի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տրամադրումը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ղեկավարին.</w:t>
            </w:r>
          </w:p>
          <w:p w:rsidR="00D50D0B" w:rsidRPr="00D50D0B" w:rsidRDefault="00D50D0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 իրավասության շրջանակներում ապահովում է հակակոռուպցիոն միջոցառումների և հակակոռուպցիոն ոլորտի միջազգային պարտավորությունների կատարմանն ուղղված աշխատանքների համակարգումը.</w:t>
            </w:r>
          </w:p>
          <w:p w:rsidR="007C5CD9" w:rsidRPr="00981A65" w:rsidRDefault="007C5CD9" w:rsidP="00164C43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981A65" w:rsidRDefault="007C5CD9" w:rsidP="00C659F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DC5D33" w:rsidRPr="00981A65" w:rsidRDefault="00DC5D33" w:rsidP="00C659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A1EC6" w:rsidRPr="00981A65" w:rsidRDefault="004A1EC6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իրավասությանը վերապահված ոլորտին առնչվող ծրագրերի, նախագծերի մշակման </w:t>
            </w:r>
            <w:r w:rsidR="00735D06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 ընթացքում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</w:t>
            </w:r>
            <w:r w:rsidR="00735D06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վերաբերյալ 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դիրքորոշում, կարծիքներ, առաջարկություններ, առարկություններ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0C8B" w:rsidRPr="00981A65" w:rsidRDefault="00110C8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իրավասությանը վերապահված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ոլորտների առանձին իրավակարգավորումների վերաբերյալ միջազգային փորձի ուսումնասիրության և դրա հիմա վրա օրենսդրությունում առկա բացերի, թերությունների վերացման և օրենսդրության կատարելագործման վերաբերյալ </w:t>
            </w:r>
            <w:r w:rsidR="004D0C63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ներկայացնել առաջարկություններ.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:rsidR="004A1EC6" w:rsidRPr="00981A65" w:rsidRDefault="004A1EC6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բաժինների պետերից իրանց իրավասությանը վերապահված ոլորտում իրականացվող աշխատանքների վերաբերյալ </w:t>
            </w:r>
            <w:r w:rsidR="00B80C7A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պահանջել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հաշվետվություններ, զեկուցագրեր, անհրաժեշտ փաստաթղթեր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981A65" w:rsidRDefault="00A30269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գործունեությանն առնչվող պայմանագրերի, համաձայնագրերի, լիազորագրերի, հանձնարարականների և այլ փ</w:t>
            </w:r>
            <w:r w:rsidR="00D70608">
              <w:rPr>
                <w:rFonts w:ascii="GHEA Grapalat" w:hAnsi="GHEA Grapalat" w:cs="Sylfaen"/>
                <w:sz w:val="24"/>
                <w:szCs w:val="24"/>
                <w:lang w:val="hy-AM"/>
              </w:rPr>
              <w:t>աստաթղթ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երի նախագծերի մշակման աշխատանքների իրականացման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նպատակով </w:t>
            </w:r>
            <w:r w:rsidR="009B374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F55B0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</w:t>
            </w:r>
            <w:r w:rsidR="00DA5149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981A65" w:rsidRDefault="00A30269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244414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գործառույթների և խնդիրների իրականացման հետ կապված անհրաժեշտ </w:t>
            </w:r>
            <w:r w:rsidR="004A1EC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DA5149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Default="00775518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հետ կապված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GHEA Grapalat" w:eastAsia="Batang" w:hAnsi="GHEA Grapalat" w:cs="Sylfaen"/>
                <w:sz w:val="24"/>
                <w:szCs w:val="24"/>
                <w:lang w:val="af-ZA"/>
              </w:rPr>
            </w:pPr>
            <w:r w:rsidRPr="00D50D0B">
              <w:rPr>
                <w:rFonts w:ascii="GHEA Grapalat" w:eastAsia="Batang" w:hAnsi="GHEA Grapalat" w:cs="Sylfaen"/>
                <w:sz w:val="24"/>
                <w:szCs w:val="24"/>
                <w:lang w:val="af-ZA"/>
              </w:rPr>
              <w:t>իրականացվող հակակոռուպցիոն ծրագրերի շրջանակներում Տեսչական մարմնի ստորաբաժանումներից պահանջել և ստանալ տեղեկատվություն.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>հակակոռուպցիոն քաղաքականության և մոնիտորինգի համար պատասխանատու մարմնից պահանջել և ստանալ մեթոդական աջակցություն, խորհրդատվություն ռազմավարական փաստաթղթերով նախատեսված հակակոռուպցիոն ոլորտի միջոցառումների և ոլորտային միջազգային պարտավորությունների վերաբերյալ.</w:t>
            </w:r>
          </w:p>
          <w:p w:rsidR="00775518" w:rsidRPr="00981A65" w:rsidRDefault="00775518" w:rsidP="00C659F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981A65" w:rsidRDefault="007C5CD9" w:rsidP="00C659F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981A65" w:rsidRDefault="007C5CD9" w:rsidP="00C659F2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D73A58" w:rsidRPr="00981A65" w:rsidRDefault="007D22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 Տեսչական մարմնի ենթակայությամբ գործող պետական ոչ առևտրային կազմակերպության (ՀԱԲԼԾԿ ՊՈԱԿ) գործադիր մարմնի կողմից ընդունված հրամանները, հրահանգները, կարգադրությունները, ցուցումները և այլ իրավական ակտերը, օրենսդրության խախտումներ, օրենսդրության պահանջներին հակասող իրավական ակտեր, դրույթներ հայտնաբերելու դեպքում մշակել օրենսդրության պահանջներին  հակասող գործող իրավական ակտերի կամ դրանցում առկա դրույթների </w:t>
            </w:r>
            <w:r w:rsidR="00520F1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դադարեցման կամ ուժը կորցրած ճանաչելուն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 նախագիծ և ներկայացնել Տեսչական մարմնի ղեկավարին.</w:t>
            </w:r>
          </w:p>
          <w:p w:rsidR="00805967" w:rsidRPr="00981A65" w:rsidRDefault="005A57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="007D22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ՀԱԲԼԾԿ ՊՈԱԿ-ի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գործադիր մարմնի կողմից մշակված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հրամանների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հրահանգների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կարգադրությունների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ցուցումների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իրավական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ակտերի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օրենսդրության պահանջներին հակասող դրույթներ հայտնաբերելու դեպքում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նախաձեռնել դրանց </w:t>
            </w:r>
            <w:r w:rsidR="00520F1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դադարեցման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 ուժը կորցրած ճանաչել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 գործընթացը՝ մշակելով դրա վերաբերյալ համապատասխան առաջարկություններով և հիմնավորումներով իրավական ակտի նախագիծ և ներկայացնելով Տեսչական մարմնի ղեկավարին</w:t>
            </w:r>
            <w:r w:rsidR="000A44E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7D226A" w:rsidRPr="00981A65" w:rsidRDefault="00604B11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ենթակայությամբ գործող պետական ոչ առևտրային կազմակերպության </w:t>
            </w:r>
            <w:r w:rsidR="000937AE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շահերի ապահովման նպատակով, վերջինիս տրված գործառույթներին առնչվող գործերով լիազորագրի հիման վրա Հայաստանի Հանրապետության դատարաններում հանդես գալ որպես հայցվոր և պատասխանող՝ ապահովելով վերջինիս դատական ներկայացուցչությունը և իրականացնելով դատավարական անհրաժեշտ գործողություններ.</w:t>
            </w:r>
          </w:p>
          <w:p w:rsidR="000937AE" w:rsidRPr="00981A65" w:rsidRDefault="001F5D6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Տեսչական մարմնի ենթակայությամբ գործող պետական ոչ առևտրային կազմակերպության գործառույթների, վերջինիս վերապահված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լիազորությունների կատարումն ապահովող իրավական ակտերի նախագծեր.</w:t>
            </w:r>
          </w:p>
          <w:p w:rsidR="00805967" w:rsidRPr="00981A65" w:rsidRDefault="0080596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ենթակայությամբ գործող պետական ոչ առևտրային կազմակերպության գործադիր մարմնի կողմից կնքված պայմանագրերի առնչությամբ </w:t>
            </w:r>
            <w:r w:rsidR="005A57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A57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իրավական-փորձագիտական եզրակացություն և  ստուգել դրանց իրավական վավերությունը և ճշգրտությունը,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պահանջներին հակասող դրույթներ հայտնաբերելու դեպքում տալ դրանց վերացմանն ուղղված համապատասխան ցուցումներ.</w:t>
            </w:r>
          </w:p>
          <w:p w:rsidR="005A576A" w:rsidRPr="00981A65" w:rsidRDefault="005A57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ՊՈԱԿ-ի գործունեության իրավական պրակտիկան, ներկայացնել համապատասխան հանձնարարականներ օրենսդրության բացերի վերացման</w:t>
            </w:r>
            <w:r w:rsidR="001A34A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 հակասությունների կարգավորման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իրավակիրառ պրակտիկայի կատարելագործման առնչությամբ. </w:t>
            </w:r>
          </w:p>
          <w:p w:rsidR="00805967" w:rsidRPr="00981A65" w:rsidRDefault="0080596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ենթակայությանը հանձնված պետական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սեփականության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իրականացման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իսկ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հիմնադրի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որոշմամբ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կանոնադրությամբ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գույքի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օտարման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վարձակալության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Տեսչական մարմնի կողմից տրամադրվող համաձայնությունների վերաբերյալ տալ իրավական-փորձագիտական եզրակացություն.</w:t>
            </w:r>
          </w:p>
          <w:p w:rsidR="00A30269" w:rsidRPr="00981A65" w:rsidRDefault="004D0C6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առաջարկությունների, հաշվետվությունների, տեղեկանքների, միջնորդագրերի, զեկուցագրերի և այլ գրությունների նախապատրաստման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աշխատանքներին, անհրաժեշտության դեպքում, ցուցաբերել </w:t>
            </w:r>
            <w:r w:rsidR="005E02C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E041F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63708A" w:rsidRPr="00981A65" w:rsidRDefault="0063708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Տեսչական մարմնի կողմից մշակված իրավական ակտերի նախագծերի վերաբերյալ տրամադրել մասնագիտական  եզրակացություններ. </w:t>
            </w:r>
          </w:p>
          <w:p w:rsidR="00314347" w:rsidRPr="00981A65" w:rsidRDefault="0031434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իրեն տրված լիազորությունների հիման վրա և Տեսչական մարմնին վերապահված իրավասությունների շրջանակներում այլ մարմիններում պաշտպանել  </w:t>
            </w:r>
            <w:r w:rsidR="00735D0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շահերը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44EE3" w:rsidRPr="00981A65" w:rsidRDefault="0063708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</w:t>
            </w:r>
            <w:r w:rsidR="00544EE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մասնակցությամբ դատական պրակտիկայի աշխատանքներ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 Տեսչական մարմնի ղեկավարին ներկայացնել մասնագիտական առաջարկություններ, եզրակացություններ այդ աշխատանքների կատարելագործման, առավել բարձր արդյունքների գրանցման վերաբերյալ</w:t>
            </w:r>
            <w:r w:rsidR="00544EE3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544EE3" w:rsidRPr="00981A65" w:rsidRDefault="00544EE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Վարչություն հասցեագրված դիմում-բողոքների կապակցությամբ Հայաստանի Հանրապետության օրենսդրությամբ սահմանված կարգով և դեպքերում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մասնակցել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վարչական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վարույթներ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կազմակերպված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վարչական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լսումներ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Տեսչական մարմին դիմած քաղաքացիներին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տրամադրել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իրավաբանական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խորհրդատվություն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07823" w:rsidRPr="00981A65" w:rsidRDefault="0010782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կերի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կարգավորող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Հայա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տանի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o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րեն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դրության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հակա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ող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իրականացնել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ուսումնասիրություններ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A14F0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81A65">
              <w:rPr>
                <w:rFonts w:ascii="GHEA Grapalat" w:eastAsia="Sylfaen" w:hAnsi="GHEA Grapalat" w:cs="Sylfaen"/>
                <w:sz w:val="24"/>
                <w:lang w:val="hy-AM"/>
              </w:rPr>
              <w:t>ակտեր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E6D5F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</w:t>
            </w:r>
            <w:r w:rsidR="00565E31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565E31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565E31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 անասնաբուժության և բուսասանիտարիայի</w:t>
            </w:r>
            <w:r w:rsidR="00565E31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ոլորտներում </w:t>
            </w:r>
            <w:r w:rsidR="0094339A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կնքվող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պայմանագրերի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F41714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ական</w:t>
            </w:r>
            <w:r w:rsidR="006D479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վավերությունը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251AF0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հետևել </w:t>
            </w:r>
            <w:r w:rsidR="00624A4D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գործունեությանն առնչվող պայմանագրերի, համաձայնագրերի, լիազորագրերի, հանձնարարականների և այլ փաստաթղթղերի նախագծերի </w:t>
            </w:r>
            <w:r w:rsidR="005D4E53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աշխատանքներին, օրենսդրության պահանջների խախտումներ հայտնաբերելու դեպքում պահանջել անհապաղ վերացնել դրանք</w:t>
            </w:r>
            <w:r w:rsidR="00624A4D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.</w:t>
            </w:r>
          </w:p>
          <w:p w:rsidR="000E6D5F" w:rsidRPr="00981A65" w:rsidRDefault="000E6D5F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 վերապահված ոլորտները կարգավորող իրավական ակտերի դրույթների կիրառման վերաբերյալ տալ պարզաբանումներ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8C0ECB" w:rsidRDefault="00AE50FF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 և իրավական այլ ակտերի համաձայն ուսումնասիրել քաղաքացիների, կազմակերպությունների, պետական և տեղական ինքնակառավարման մարմինների բողոքներն ու դիմումները և մասնակցել դրանց ընթացք տալու աշխատանքներին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C0ECB" w:rsidRPr="00D50D0B" w:rsidRDefault="008C0EC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հետևել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 և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D0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 վերաբերյալ առաջարկությունների և փաստաթղթերի ներկայացմանը  Տեսչական մարմնի ղեկավարին.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իրավասության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շրջանակներում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համագործակցել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իրավասու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հետևել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ռազմավարական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փաստաթղթերով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նախատեսված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հակակոռուպցիոն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միջոցառումների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հաշվետվությունների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ինքնագնահատման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զեկույցների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կազմման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հարցաշարերի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լրացման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մասնակցել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հակակոռուպցիոն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առնչվող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քննարկումներին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D0B" w:rsidRPr="008C0ECB" w:rsidRDefault="00D50D0B" w:rsidP="00D50D0B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left" w:pos="993"/>
              </w:tabs>
              <w:spacing w:after="0" w:line="36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տրամադրել </w:t>
            </w: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</w:t>
            </w: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գործառույթներին առնչվող ռազմավարական փաստաթղթերով նախատեսված՝ հակակոռուպցիոն ոլորտի միջոցառումների և ոլորտային միջազգային պարտավորությունների կատարման վերաբերյալ տեղեկատվություն, պարզաբանումներ, միջոցներ ձեռնարկել </w:t>
            </w: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</w:t>
            </w: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ոլորտային միջազգային պարտավորությունների կատարումն ապահովելու ուղղությամբ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</w:tc>
      </w:tr>
      <w:tr w:rsidR="00981A65" w:rsidRPr="00981A6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17FCE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  <w:r w:rsidR="00417FCE" w:rsidRPr="00417FC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:rsidR="0000101D" w:rsidRPr="00D50D0B" w:rsidRDefault="003C5E15" w:rsidP="00C659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81A6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417FCE" w:rsidRPr="00417FC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417FCE" w:rsidRPr="00D50D0B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9050A2" w:rsidRPr="00D50D0B" w:rsidTr="00A24809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050A2" w:rsidRPr="00D50D0B" w:rsidTr="00A24809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9050A2" w:rsidRPr="00D50D0B" w:rsidTr="00A24809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9050A2" w:rsidRPr="00D50D0B" w:rsidTr="00A24809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042101.00.6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082CFD" w:rsidRPr="00D50D0B" w:rsidRDefault="00082CFD" w:rsidP="00082CF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</w:p>
          <w:p w:rsidR="008E696F" w:rsidRPr="00981A65" w:rsidRDefault="003C5E15" w:rsidP="00082CF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81A6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Pr="00981A65">
              <w:rPr>
                <w:rFonts w:ascii="GHEA Grapalat" w:hAnsi="GHEA Grapalat" w:cs="Sylfaen"/>
                <w:lang w:val="hy-AM"/>
              </w:rPr>
              <w:t>Ունի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իրականացման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համար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անհրաժեշտ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գիտելիքներ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Pr="00981A65">
              <w:rPr>
                <w:rFonts w:ascii="GHEA Grapalat" w:hAnsi="GHEA Grapalat"/>
                <w:b/>
                <w:lang w:val="hy-AM"/>
              </w:rPr>
              <w:t>3.3.</w:t>
            </w:r>
            <w:r w:rsidRPr="00981A6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="00775518" w:rsidRPr="00981A65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E6052F" w:rsidRPr="00981A65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981A6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E6D5F" w:rsidRPr="00981A65">
              <w:rPr>
                <w:rFonts w:ascii="GHEA Grapalat" w:hAnsi="GHEA Grapalat" w:cs="Sylfaen"/>
                <w:lang w:val="hy-AM"/>
              </w:rPr>
              <w:t xml:space="preserve">իրավունքի </w:t>
            </w:r>
            <w:r w:rsidR="00775518" w:rsidRPr="00981A65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981A6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 </w:t>
            </w:r>
            <w:r w:rsidRPr="00981A6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81A65" w:rsidRDefault="008E696F" w:rsidP="00C659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81A6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981A65" w:rsidRDefault="0000101D" w:rsidP="00082CF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81A65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81A65" w:rsidRDefault="008E696F" w:rsidP="00C659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81A6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981A65" w:rsidRPr="00D50D0B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43050E" w:rsidRPr="00981A65" w:rsidRDefault="0043050E" w:rsidP="00C659F2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082CFD" w:rsidRPr="00D70608" w:rsidRDefault="0000101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43050E" w:rsidRPr="00981A65" w:rsidRDefault="0043050E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082CFD" w:rsidRPr="00981A65" w:rsidRDefault="00082CF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082CFD" w:rsidRPr="00981A65" w:rsidRDefault="0000101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Կայացնում է որոշումներ համապատասխան մարմնի կառուցվածքային ստորաբաժանման աշխատանքների կազմակերպման և ղեկավարման </w:t>
            </w:r>
            <w:r w:rsidR="00082CFD" w:rsidRPr="00981A65">
              <w:rPr>
                <w:rFonts w:ascii="GHEA Grapalat" w:hAnsi="GHEA Grapalat"/>
                <w:sz w:val="24"/>
                <w:szCs w:val="24"/>
                <w:lang w:val="hy-AM"/>
              </w:rPr>
              <w:t>շրջանակներում</w:t>
            </w:r>
            <w:r w:rsidR="00082CFD" w:rsidRPr="00981A65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082CFD" w:rsidRPr="00981A65" w:rsidRDefault="00082CF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4F6F00" w:rsidRPr="00981A65" w:rsidRDefault="0043050E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4F6F00" w:rsidRPr="00981A65" w:rsidRDefault="0000101D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F6352B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01064C" w:rsidRPr="00981A65" w:rsidRDefault="0043050E" w:rsidP="00C659F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="007D607D"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01064C" w:rsidRPr="00981A65" w:rsidRDefault="0000101D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ստորաբաժանումը: </w:t>
            </w:r>
          </w:p>
          <w:p w:rsidR="0043050E" w:rsidRPr="00981A65" w:rsidRDefault="0043050E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981A65" w:rsidRDefault="0000101D" w:rsidP="009B374A">
            <w:pPr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981A65" w:rsidRDefault="001859CD" w:rsidP="00C659F2">
      <w:pPr>
        <w:rPr>
          <w:rFonts w:ascii="GHEA Grapalat" w:hAnsi="GHEA Grapalat"/>
          <w:lang w:val="hy-AM"/>
        </w:rPr>
      </w:pPr>
    </w:p>
    <w:sectPr w:rsidR="001859CD" w:rsidRPr="00981A65" w:rsidSect="00DA5149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3AF9"/>
    <w:multiLevelType w:val="hybridMultilevel"/>
    <w:tmpl w:val="391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4E91065"/>
    <w:multiLevelType w:val="hybridMultilevel"/>
    <w:tmpl w:val="544A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424B5"/>
    <w:multiLevelType w:val="hybridMultilevel"/>
    <w:tmpl w:val="C0342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F78A2"/>
    <w:multiLevelType w:val="hybridMultilevel"/>
    <w:tmpl w:val="6F82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5190"/>
    <w:multiLevelType w:val="hybridMultilevel"/>
    <w:tmpl w:val="9074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1"/>
  </w:num>
  <w:num w:numId="5">
    <w:abstractNumId w:val="4"/>
  </w:num>
  <w:num w:numId="6">
    <w:abstractNumId w:val="8"/>
  </w:num>
  <w:num w:numId="7">
    <w:abstractNumId w:val="18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064C"/>
    <w:rsid w:val="00082CFD"/>
    <w:rsid w:val="000937AE"/>
    <w:rsid w:val="000A44E5"/>
    <w:rsid w:val="000E6D5F"/>
    <w:rsid w:val="0010100C"/>
    <w:rsid w:val="00107823"/>
    <w:rsid w:val="00110C8B"/>
    <w:rsid w:val="00113C7C"/>
    <w:rsid w:val="001237C6"/>
    <w:rsid w:val="00137515"/>
    <w:rsid w:val="00143524"/>
    <w:rsid w:val="00164C43"/>
    <w:rsid w:val="001859CD"/>
    <w:rsid w:val="001A34A0"/>
    <w:rsid w:val="001F5027"/>
    <w:rsid w:val="001F5D6B"/>
    <w:rsid w:val="00244414"/>
    <w:rsid w:val="00251AF0"/>
    <w:rsid w:val="002741A8"/>
    <w:rsid w:val="002C43D5"/>
    <w:rsid w:val="002E2AF9"/>
    <w:rsid w:val="002F5532"/>
    <w:rsid w:val="00304F42"/>
    <w:rsid w:val="00314347"/>
    <w:rsid w:val="00317CA3"/>
    <w:rsid w:val="00334754"/>
    <w:rsid w:val="00343519"/>
    <w:rsid w:val="00350F02"/>
    <w:rsid w:val="003C5E15"/>
    <w:rsid w:val="003D1668"/>
    <w:rsid w:val="00411E7F"/>
    <w:rsid w:val="00417FCE"/>
    <w:rsid w:val="00425257"/>
    <w:rsid w:val="0043050E"/>
    <w:rsid w:val="00430641"/>
    <w:rsid w:val="00485EEA"/>
    <w:rsid w:val="004973F5"/>
    <w:rsid w:val="0049783D"/>
    <w:rsid w:val="004A1EC6"/>
    <w:rsid w:val="004A2807"/>
    <w:rsid w:val="004D0C63"/>
    <w:rsid w:val="004E48C0"/>
    <w:rsid w:val="004F182B"/>
    <w:rsid w:val="004F6F00"/>
    <w:rsid w:val="00502116"/>
    <w:rsid w:val="00504CE0"/>
    <w:rsid w:val="00520F1A"/>
    <w:rsid w:val="00531B09"/>
    <w:rsid w:val="00544EE3"/>
    <w:rsid w:val="00554281"/>
    <w:rsid w:val="0056188F"/>
    <w:rsid w:val="0056483E"/>
    <w:rsid w:val="00565E31"/>
    <w:rsid w:val="005A576A"/>
    <w:rsid w:val="005D4E53"/>
    <w:rsid w:val="005D5E4D"/>
    <w:rsid w:val="005E02C7"/>
    <w:rsid w:val="00604B11"/>
    <w:rsid w:val="006160B7"/>
    <w:rsid w:val="00624A4D"/>
    <w:rsid w:val="0063708A"/>
    <w:rsid w:val="00697217"/>
    <w:rsid w:val="006A2F26"/>
    <w:rsid w:val="006A54A3"/>
    <w:rsid w:val="006B1D27"/>
    <w:rsid w:val="006D4790"/>
    <w:rsid w:val="00717C67"/>
    <w:rsid w:val="007309D2"/>
    <w:rsid w:val="00735C38"/>
    <w:rsid w:val="00735D06"/>
    <w:rsid w:val="00760F18"/>
    <w:rsid w:val="00775518"/>
    <w:rsid w:val="007A14F0"/>
    <w:rsid w:val="007A17C1"/>
    <w:rsid w:val="007C5CD9"/>
    <w:rsid w:val="007D226A"/>
    <w:rsid w:val="007D607D"/>
    <w:rsid w:val="00802C83"/>
    <w:rsid w:val="00805967"/>
    <w:rsid w:val="00851FCD"/>
    <w:rsid w:val="00893785"/>
    <w:rsid w:val="008A12A6"/>
    <w:rsid w:val="008C0ECB"/>
    <w:rsid w:val="008C7304"/>
    <w:rsid w:val="008D0C59"/>
    <w:rsid w:val="008E696F"/>
    <w:rsid w:val="009050A2"/>
    <w:rsid w:val="00921400"/>
    <w:rsid w:val="009248A6"/>
    <w:rsid w:val="00935C4C"/>
    <w:rsid w:val="0094339A"/>
    <w:rsid w:val="00981A65"/>
    <w:rsid w:val="009B374A"/>
    <w:rsid w:val="009C0129"/>
    <w:rsid w:val="009C5FEA"/>
    <w:rsid w:val="009D0775"/>
    <w:rsid w:val="009F7F62"/>
    <w:rsid w:val="00A30269"/>
    <w:rsid w:val="00A34E80"/>
    <w:rsid w:val="00A47B7E"/>
    <w:rsid w:val="00A77EAE"/>
    <w:rsid w:val="00AA44F3"/>
    <w:rsid w:val="00AA4C3B"/>
    <w:rsid w:val="00AD6EFB"/>
    <w:rsid w:val="00AE2B84"/>
    <w:rsid w:val="00AE50FF"/>
    <w:rsid w:val="00B055F1"/>
    <w:rsid w:val="00B15D1A"/>
    <w:rsid w:val="00B80C7A"/>
    <w:rsid w:val="00BB020C"/>
    <w:rsid w:val="00BC2567"/>
    <w:rsid w:val="00BD423B"/>
    <w:rsid w:val="00BD6928"/>
    <w:rsid w:val="00C0635B"/>
    <w:rsid w:val="00C10B24"/>
    <w:rsid w:val="00C21983"/>
    <w:rsid w:val="00C26ACD"/>
    <w:rsid w:val="00C45438"/>
    <w:rsid w:val="00C61C6B"/>
    <w:rsid w:val="00C659F2"/>
    <w:rsid w:val="00C9375E"/>
    <w:rsid w:val="00CC37A1"/>
    <w:rsid w:val="00CD4B3C"/>
    <w:rsid w:val="00D17BF4"/>
    <w:rsid w:val="00D369C0"/>
    <w:rsid w:val="00D45F52"/>
    <w:rsid w:val="00D50D0B"/>
    <w:rsid w:val="00D67FC5"/>
    <w:rsid w:val="00D70608"/>
    <w:rsid w:val="00D73A58"/>
    <w:rsid w:val="00D94EAE"/>
    <w:rsid w:val="00DA5149"/>
    <w:rsid w:val="00DC29D8"/>
    <w:rsid w:val="00DC5D33"/>
    <w:rsid w:val="00E041FD"/>
    <w:rsid w:val="00E23E3E"/>
    <w:rsid w:val="00E46A55"/>
    <w:rsid w:val="00E541D7"/>
    <w:rsid w:val="00E5541B"/>
    <w:rsid w:val="00E6052F"/>
    <w:rsid w:val="00E64B41"/>
    <w:rsid w:val="00E72386"/>
    <w:rsid w:val="00ED6921"/>
    <w:rsid w:val="00F06EFB"/>
    <w:rsid w:val="00F153B7"/>
    <w:rsid w:val="00F41714"/>
    <w:rsid w:val="00F467ED"/>
    <w:rsid w:val="00F52C21"/>
    <w:rsid w:val="00F55B09"/>
    <w:rsid w:val="00F6352B"/>
    <w:rsid w:val="00FA6A63"/>
    <w:rsid w:val="00FB17E6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F180"/>
  <w15:docId w15:val="{1C625962-68F7-4878-8CD2-F83DDC16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E0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F606-ECB5-4E6F-B091-6DF21710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1694</Words>
  <Characters>14490</Characters>
  <Application>Microsoft Office Word</Application>
  <DocSecurity>0</DocSecurity>
  <Lines>852</Lines>
  <Paragraphs>305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190</cp:revision>
  <cp:lastPrinted>2020-03-09T10:57:00Z</cp:lastPrinted>
  <dcterms:created xsi:type="dcterms:W3CDTF">2019-10-16T12:10:00Z</dcterms:created>
  <dcterms:modified xsi:type="dcterms:W3CDTF">2023-02-28T11:32:00Z</dcterms:modified>
  <cp:keywords>https://mul2-fsss.gov.am/tasks/747806/oneclick?token=8c5f17ca92ca94c45ebfbc26b3e5b796</cp:keywords>
</cp:coreProperties>
</file>