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3C" w:rsidRPr="00961A30" w:rsidRDefault="00A34C3C" w:rsidP="0093602F">
      <w:pPr>
        <w:spacing w:after="0"/>
        <w:ind w:firstLine="375"/>
        <w:jc w:val="right"/>
        <w:rPr>
          <w:rFonts w:ascii="GHEA Grapalat" w:eastAsia="Times New Roman" w:hAnsi="GHEA Grapalat" w:cs="Sylfaen"/>
          <w:color w:val="000000" w:themeColor="text1"/>
          <w:sz w:val="16"/>
          <w:szCs w:val="16"/>
        </w:rPr>
      </w:pPr>
      <w:r w:rsidRPr="00961A30">
        <w:rPr>
          <w:rFonts w:ascii="GHEA Grapalat" w:eastAsia="Times New Roman" w:hAnsi="GHEA Grapalat" w:cs="Sylfaen"/>
          <w:color w:val="000000" w:themeColor="text1"/>
          <w:sz w:val="16"/>
          <w:szCs w:val="16"/>
        </w:rPr>
        <w:t>Հավելված N</w:t>
      </w:r>
      <w:r w:rsidR="000826CE">
        <w:rPr>
          <w:rFonts w:ascii="GHEA Grapalat" w:eastAsia="Times New Roman" w:hAnsi="GHEA Grapalat" w:cs="Sylfaen"/>
          <w:color w:val="000000" w:themeColor="text1"/>
          <w:sz w:val="16"/>
          <w:szCs w:val="16"/>
          <w:lang w:val="ru-RU"/>
        </w:rPr>
        <w:t xml:space="preserve"> 1</w:t>
      </w:r>
      <w:r w:rsidRPr="00961A30">
        <w:rPr>
          <w:rFonts w:ascii="GHEA Grapalat" w:eastAsia="Times New Roman" w:hAnsi="GHEA Grapalat" w:cs="Sylfaen"/>
          <w:color w:val="000000" w:themeColor="text1"/>
          <w:sz w:val="16"/>
          <w:szCs w:val="16"/>
        </w:rPr>
        <w:t xml:space="preserve">   </w:t>
      </w:r>
    </w:p>
    <w:p w:rsidR="00A34C3C" w:rsidRPr="00961A30" w:rsidRDefault="00A34C3C" w:rsidP="0093602F">
      <w:pPr>
        <w:spacing w:after="0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</w:pPr>
      <w:r w:rsidRPr="00961A30">
        <w:rPr>
          <w:rFonts w:ascii="GHEA Grapalat" w:eastAsia="Times New Roman" w:hAnsi="GHEA Grapalat" w:cs="Sylfaen"/>
          <w:color w:val="000000" w:themeColor="text1"/>
          <w:sz w:val="16"/>
          <w:szCs w:val="16"/>
        </w:rPr>
        <w:t>Հաստատված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 xml:space="preserve"> </w:t>
      </w:r>
      <w:r w:rsidRPr="00961A30">
        <w:rPr>
          <w:rFonts w:ascii="GHEA Grapalat" w:eastAsia="Times New Roman" w:hAnsi="GHEA Grapalat" w:cs="Sylfaen"/>
          <w:color w:val="000000" w:themeColor="text1"/>
          <w:sz w:val="16"/>
          <w:szCs w:val="16"/>
        </w:rPr>
        <w:t>է</w:t>
      </w:r>
    </w:p>
    <w:p w:rsidR="00A34C3C" w:rsidRPr="00961A30" w:rsidRDefault="00A34C3C" w:rsidP="0093602F">
      <w:pPr>
        <w:spacing w:after="0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</w:pP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 xml:space="preserve">Հայաստանի 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  <w:lang w:val="hy-AM"/>
        </w:rPr>
        <w:t>Հ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>անրապետության սննդամթերքի</w:t>
      </w:r>
    </w:p>
    <w:p w:rsidR="00A34C3C" w:rsidRPr="00961A30" w:rsidRDefault="00A34C3C" w:rsidP="0093602F">
      <w:pPr>
        <w:spacing w:after="0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</w:pP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 xml:space="preserve"> անվտանգության տեսչական մարմնի 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  <w:lang w:val="hy-AM"/>
        </w:rPr>
        <w:t>ղեկավար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 xml:space="preserve">ի </w:t>
      </w:r>
    </w:p>
    <w:p w:rsidR="003C5E15" w:rsidRPr="00961A30" w:rsidRDefault="006A5519" w:rsidP="0093602F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 w:rsidRPr="00961A30"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 w:rsidR="00E33C01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 w:rsidR="00A34C3C"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թ. </w:t>
      </w:r>
      <w:r w:rsidR="002F0805"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 w:rsidR="00A34C3C"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 w:rsidR="002F0805" w:rsidRPr="002F0805"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 w:rsidR="002F0805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 w:rsidR="002F0805" w:rsidRPr="002F0805"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A34C3C"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 w:rsidR="002F0805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 w:rsidR="002F0805" w:rsidRPr="00E33C01">
        <w:rPr>
          <w:rFonts w:ascii="GHEA Grapalat" w:hAnsi="GHEA Grapalat" w:cs="Sylfaen"/>
          <w:color w:val="000000" w:themeColor="text1"/>
          <w:sz w:val="16"/>
          <w:szCs w:val="16"/>
        </w:rPr>
        <w:t>7</w:t>
      </w:r>
      <w:r w:rsidR="00874E4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7</w:t>
      </w:r>
      <w:r w:rsidR="002F0805" w:rsidRPr="00E33C01">
        <w:rPr>
          <w:rFonts w:ascii="GHEA Grapalat" w:hAnsi="GHEA Grapalat" w:cs="Sylfaen"/>
          <w:color w:val="000000" w:themeColor="text1"/>
          <w:sz w:val="16"/>
          <w:szCs w:val="16"/>
        </w:rPr>
        <w:t>-</w:t>
      </w:r>
      <w:r w:rsidR="002F0805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 w:rsidR="00A34C3C"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հրամանով</w:t>
      </w:r>
    </w:p>
    <w:p w:rsidR="00D45F52" w:rsidRPr="00961A30" w:rsidRDefault="00D45F52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113C7C" w:rsidRPr="00961A30" w:rsidRDefault="00113C7C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 xml:space="preserve">ՔԱՂԱՔԱՑԻԱԿԱՆ </w:t>
      </w:r>
      <w:r w:rsidR="00574F42"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ԾԱՌԱՅՈՒԹՅԱՆ </w:t>
      </w:r>
      <w:r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ՊԱՇՏՈՆԻ ԱՆՁՆԱԳԻՐ</w:t>
      </w:r>
    </w:p>
    <w:p w:rsidR="00574F42" w:rsidRPr="00961A30" w:rsidRDefault="00574F42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113C7C" w:rsidRPr="00961A30" w:rsidRDefault="00C61C6B" w:rsidP="00113C7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ՀԱՅԱՍՏԱՆԻ ՀԱՆՐԱՊԵՏՈՒԹՅԱՆ ՍՆՆԴԱՄԹԵՐՔԻ ԱՆՎՏԱՆԳՈՒԹՅԱՆ ՏԵՍՉԱԿԱՆ ՄԱՐՄՆԻ</w:t>
      </w:r>
      <w:r w:rsidR="00910AF5"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367FE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ՌԻՍԿ</w:t>
      </w:r>
      <w:r w:rsidR="00003568" w:rsidRPr="00961A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Ի ԳՆԱՀԱՏՄԱՆ </w:t>
      </w:r>
      <w:r w:rsidR="00F07F44" w:rsidRPr="00961A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(ԿԱՌԱՎԱՐՄԱՆ) </w:t>
      </w:r>
      <w:r w:rsidR="00003568" w:rsidRPr="00961A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ՎԵՐԼՈՒԾՈՒԹՅՈՒՆՆԵՐԻ </w:t>
      </w:r>
      <w:r w:rsidR="00003568"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ՎԱՐՉՈՒԹՅԱՆ ՊԵՏ</w:t>
      </w:r>
      <w:r w:rsidR="00F07F44"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</w:p>
    <w:p w:rsidR="00113C7C" w:rsidRPr="00961A30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113C7C" w:rsidRPr="00961A30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W w:w="95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</w:tblGrid>
      <w:tr w:rsidR="00961A30" w:rsidRPr="00961A30" w:rsidTr="00ED6921">
        <w:trPr>
          <w:trHeight w:val="31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61A30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961A30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4"/>
                <w:szCs w:val="24"/>
              </w:rPr>
              <w:t>․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Ընդհանուր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դրույթներ</w:t>
            </w:r>
          </w:p>
        </w:tc>
      </w:tr>
      <w:tr w:rsidR="00961A30" w:rsidRPr="00961A30" w:rsidTr="0028191C">
        <w:trPr>
          <w:trHeight w:val="505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304" w:rsidRPr="00961A30" w:rsidRDefault="003C5E15" w:rsidP="00ED6921">
            <w:pPr>
              <w:pStyle w:val="BodyText"/>
              <w:rPr>
                <w:rFonts w:ascii="GHEA Grapalat" w:eastAsia="Times New Roman" w:hAnsi="GHEA Grapalat"/>
                <w:i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1.1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.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Պաշտոնի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անվանումը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ծածկագիրը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br/>
            </w:r>
            <w:r w:rsidR="00C61C6B"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61A30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61C6B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(այսուհետ՝ Տեսչական մարմին</w:t>
            </w:r>
            <w:r w:rsidR="00430641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) </w:t>
            </w:r>
            <w:r w:rsidR="00367FEF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>ռիսկ</w:t>
            </w:r>
            <w:r w:rsidR="009623F8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 xml:space="preserve">ի 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ru-RU"/>
              </w:rPr>
              <w:t>գնահատման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07F4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="00F07F4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>կառավարման</w:t>
            </w:r>
            <w:r w:rsidR="00F07F4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) 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ru-RU"/>
              </w:rPr>
              <w:t>և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ru-RU"/>
              </w:rPr>
              <w:t>վերլուծությունների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C73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վարչության</w:t>
            </w:r>
            <w:r w:rsidR="00430641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(այսուհետ՝ </w:t>
            </w:r>
            <w:r w:rsidR="002E2AF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Վարչություն</w:t>
            </w:r>
            <w:r w:rsidR="00430641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)</w:t>
            </w:r>
            <w:r w:rsidR="008C73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պետ</w:t>
            </w:r>
            <w:r w:rsidR="00113C7C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(ծածկագիրը՝</w:t>
            </w:r>
            <w:r w:rsidR="00C61C6B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46A55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10AF5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70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-26.1</w:t>
            </w:r>
            <w:r w:rsidR="00C61C6B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-Ղ</w:t>
            </w:r>
            <w:r w:rsidR="00F973DA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="00C61C6B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-1)</w:t>
            </w:r>
            <w:r w:rsidR="00F973DA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1.2.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Ենթակա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և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հաշվետու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է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br/>
            </w:r>
            <w:r w:rsidR="00ED6921" w:rsidRPr="00961A30">
              <w:rPr>
                <w:rFonts w:ascii="GHEA Grapalat" w:eastAsia="Times New Roman" w:hAnsi="GHEA Grapalat"/>
                <w:iCs/>
                <w:color w:val="000000" w:themeColor="text1"/>
                <w:sz w:val="24"/>
                <w:szCs w:val="24"/>
              </w:rPr>
              <w:t xml:space="preserve">Վարչության պետն անմիջական </w:t>
            </w:r>
            <w:r w:rsidR="00334754" w:rsidRPr="00961A30">
              <w:rPr>
                <w:rFonts w:ascii="GHEA Grapalat" w:eastAsia="Times New Roman" w:hAnsi="GHEA Grapalat"/>
                <w:iCs/>
                <w:color w:val="000000" w:themeColor="text1"/>
                <w:sz w:val="24"/>
                <w:szCs w:val="24"/>
              </w:rPr>
              <w:t xml:space="preserve">ենթակա  </w:t>
            </w:r>
            <w:r w:rsidR="00ED6921" w:rsidRPr="00961A30">
              <w:rPr>
                <w:rFonts w:ascii="GHEA Grapalat" w:eastAsia="Times New Roman" w:hAnsi="GHEA Grapalat"/>
                <w:iCs/>
                <w:color w:val="000000" w:themeColor="text1"/>
                <w:sz w:val="24"/>
                <w:szCs w:val="24"/>
              </w:rPr>
              <w:t xml:space="preserve">և հաշվետու է Տեսչական մարմնի ղեկավարին. </w:t>
            </w:r>
            <w:r w:rsidRPr="00961A3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1.3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Ենթակա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և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հաշվետու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պաշտոններ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br/>
            </w:r>
            <w:r w:rsidR="008C73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Վարչության պետին  </w:t>
            </w:r>
            <w:r w:rsidR="00ED6921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անմիջական</w:t>
            </w:r>
            <w:r w:rsidR="00113C7C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ենթակա և հաշվետու են </w:t>
            </w:r>
            <w:r w:rsidR="008C7304" w:rsidRPr="00961A30">
              <w:rPr>
                <w:rFonts w:ascii="GHEA Grapalat" w:hAnsi="GHEA Grapalat"/>
                <w:color w:val="000000" w:themeColor="text1"/>
                <w:sz w:val="24"/>
              </w:rPr>
              <w:t>Վարչության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 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  <w:lang w:val="ru-RU"/>
              </w:rPr>
              <w:t>աշխատողները</w:t>
            </w:r>
            <w:r w:rsidR="00910AF5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. </w:t>
            </w:r>
            <w:r w:rsidRPr="00961A3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1.4.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Փոխարինող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պաշտոնի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կամ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պաշտոնների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անվանումները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br/>
            </w:r>
            <w:r w:rsidR="008C73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Վարչության պետի  </w:t>
            </w:r>
            <w:r w:rsidR="00AA4C3B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բացակայության դեպքում նրան փոխարինում է </w:t>
            </w:r>
            <w:r w:rsidR="008C7304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Վարչության 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  <w:lang w:val="ru-RU"/>
              </w:rPr>
              <w:t>գլխավոր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 </w:t>
            </w:r>
            <w:r w:rsidR="007F7D8C" w:rsidRPr="00961A30">
              <w:rPr>
                <w:rFonts w:ascii="GHEA Grapalat" w:hAnsi="GHEA Grapalat"/>
                <w:color w:val="000000" w:themeColor="text1"/>
                <w:sz w:val="24"/>
                <w:lang w:val="ru-RU"/>
              </w:rPr>
              <w:t>մասնագետ</w:t>
            </w:r>
            <w:r w:rsidR="008C7304" w:rsidRPr="00961A30">
              <w:rPr>
                <w:rFonts w:ascii="GHEA Grapalat" w:hAnsi="GHEA Grapalat"/>
                <w:color w:val="000000" w:themeColor="text1"/>
                <w:sz w:val="24"/>
              </w:rPr>
              <w:t>ը.</w:t>
            </w:r>
          </w:p>
          <w:p w:rsidR="003C5E15" w:rsidRPr="00961A30" w:rsidRDefault="003C1641" w:rsidP="00ED69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/>
              </w:rPr>
              <w:t xml:space="preserve">1.5.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Աշխատավայրը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br/>
            </w:r>
            <w:r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 xml:space="preserve">Հայաստան, ք. Երևան, </w:t>
            </w:r>
            <w:r w:rsidR="003E50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Արաբկիր վարչական շրջան, </w:t>
            </w:r>
            <w:r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>Կոմիտաս</w:t>
            </w:r>
            <w:r w:rsidR="001755A0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>ի</w:t>
            </w:r>
            <w:r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 xml:space="preserve"> պող</w:t>
            </w:r>
            <w:r w:rsidRPr="00961A30">
              <w:rPr>
                <w:rFonts w:ascii="MS Mincho" w:eastAsia="MS Mincho" w:hAnsi="MS Mincho" w:cs="MS Mincho" w:hint="eastAsia"/>
                <w:iCs/>
                <w:color w:val="000000" w:themeColor="text1"/>
                <w:sz w:val="24"/>
                <w:szCs w:val="24"/>
                <w:lang w:val="hy-AM"/>
              </w:rPr>
              <w:t>․</w:t>
            </w:r>
            <w:r w:rsidRPr="00961A30">
              <w:rPr>
                <w:rFonts w:ascii="GHEA Grapalat" w:eastAsia="MS Mincho" w:hAnsi="GHEA Grapalat" w:cs="MS Mincho"/>
                <w:iCs/>
                <w:color w:val="000000" w:themeColor="text1"/>
                <w:sz w:val="24"/>
                <w:szCs w:val="24"/>
                <w:lang w:val="hy-AM"/>
              </w:rPr>
              <w:t>49/2</w:t>
            </w:r>
          </w:p>
        </w:tc>
      </w:tr>
      <w:tr w:rsidR="00961A30" w:rsidRPr="004E2EA2" w:rsidTr="00ED6921">
        <w:trPr>
          <w:trHeight w:val="332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61A30" w:rsidRDefault="003C5E15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2. Պաշտոնի բնութագիրը</w:t>
            </w:r>
          </w:p>
          <w:p w:rsidR="007C5CD9" w:rsidRPr="00961A30" w:rsidRDefault="007C5CD9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  <w:p w:rsidR="007C5CD9" w:rsidRPr="00961A30" w:rsidRDefault="007C5CD9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2.1. </w:t>
            </w:r>
            <w:r w:rsidR="003C5E15"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Աշխատանքի բնույթը, իրավունքները, պարտականությունները</w:t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0101D" w:rsidRPr="00961A30" w:rsidRDefault="0000101D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  <w:p w:rsidR="00454C07" w:rsidRPr="00961A30" w:rsidRDefault="00454C07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ննդամթերքի, անասնաբուժության և բուսասանիտարիայի ոլորտներում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,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յուրաքանչյուրի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ոլորտի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ձևաչափով ռիսկերի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հաղորդակցության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(տեղեկատվության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տրամադրում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ռիսկերի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գիտական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կազմակերպություններին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միջազգային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լիազոր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մարմինների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միջազգային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մյուս կառույցների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տեղեկատվության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փոխանակում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տեղական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ինքնակառավարման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մարմիններին, սպառողներին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ԶԼՄ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միջոցով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՝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Տեսչական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մարմնի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պաշտոնական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կայքի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)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և այլ շահառուներին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ռիսկերի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(կանխարգելման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նվազեցման)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նպատակով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տեղեկատվությ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տրամադրման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աշխատանքները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.</w:t>
            </w:r>
          </w:p>
          <w:p w:rsidR="00454C07" w:rsidRPr="00961A30" w:rsidRDefault="00916FE1" w:rsidP="004F75F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</w:pP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է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սննդամթերքի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անվտանգության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անասնաբուժության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բուսասանիտարիայի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բնագավառներում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գործունեություն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իրականացնող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ֆիզիկական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իրավաբանական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անձանցից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օրենսդրությամբ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նախատեսված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դեպքերում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կարգով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երեք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ոլորտների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վերահսկողության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(ստուգում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դիտարկում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մշտադիտարկում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ուսումնասիրություն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մոնիթորինգ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աուդիտ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այլն)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արդյունքների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ինչպես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նաև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դիմում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-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բողոքների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պետական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տեղական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ինքնակառավարման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կառույցներից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կողմից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ստացված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անհամապատասխանությունների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թունավորումների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կենդանիների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բույսերի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առողջության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ու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վտանգավորության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վերաբերյալ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համապատասխան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տեղեկատվության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տվյալների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հաշվետվությունների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հավաքագր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ման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,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վերլուծության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,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ըստ ոլորտների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էլեկտրոնային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տեղեկատվական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բազաների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ստեղծ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ման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վար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ան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աշխատանքների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իրականացումը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ննդամթերքի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անվտանգության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անասնաբուժության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ու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բուսասանիտարիայի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ոլորտների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սահմանված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ռիսկայնության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չափորոշիչներով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պայմանավորված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ստեղծված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էլեկտրոնային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տեղեկատվական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բազաների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միջոցով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յուրաքանչյուր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ոլորտի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իրավիճակի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վերլուծությ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համակարգչային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ծրագրի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միջոցով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ըստ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ոլորտների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նաև ըստ գործունեության տեսակների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,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անհատական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և տեղայնության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ռիսկայնության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բարձր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միջին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ցածր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դասակարգ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աշխատանքների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իրականացումը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ունավորումների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անասնահամաճարակների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հանրապետությունում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արձանագրված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արտակարգ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դեպքերի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հայտնաբերման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ժամանակ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համատեղ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սանիտարահիգիենիկ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հակահամաճարակային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վերահսկողություն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իրականացնող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արտակարգ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իրավիճակների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մարզպետարանների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համայնքների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պատասխանատու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կառույցների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հետ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ռիսկերի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նվազեցման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ու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կանխարգելման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նպատակով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միջոցառումների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պլան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ծրագ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րի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մշակման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կազմման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աշխատանքների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իրականացումը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է Հայաստանի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տարածք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վտանգավոր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կենդանիների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հատուկ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վտանգավոր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վարակիչ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հիվանդությունների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բույսերի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վնասակար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օրգանիզմների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ներթափանցման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կանխարգելման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նպատակով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 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ԵԱՏՄ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ԵՄ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միջազգային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կառույցների (Կենդանիների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առողջության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համաշխարհային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կազմակերպության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Առողջության համաշխարհային կազմակերպութուն, Առևտրի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համաշխարհային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կազմակերպության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Բույսերի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կարանտինի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պաշտպանության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Եվրոպական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Միջերկրածովյան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կազմակերպություն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սննդամթերքի և կերի անվտանգության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արագ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արձագանքման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կազմակերպություն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այլն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պետական պաշտոնական և տեղեկատվական այլ կայքերում տեղադրված տեղեկատվության պարբերաբար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ուսումնասիր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ու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հավաքագր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, ամփոփ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վերլուծ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սահմանափակումների վերաբերյալ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հրամանի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հանձնարարականի նախագիծ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առաջարկություններ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ներկայացման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աշխատանքների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իրականացումը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ապահովում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է յուրաքանչյուր տարվա համար սննդամթերքի, անասնաբուժության և բուսասանիտարիայի ոլորտների ստուգումների պլանի/ծրագրի կազմում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` ելնելով սահմանված ռիսկայնության չափանիշներով դասակարգված տնտեսավորողների բազայից.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ապահովում է </w:t>
            </w:r>
            <w:r w:rsidR="00454C07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Հանրապետության բնակչության կողմից օգտագործվող սննդում յոդի անբավարարության հետևանքների դեմ պայքարի և կանխարգելման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պատակով (ՄԱԿ-ի Առողջապահության համաշխարհային կազմակերպության տվյալների  համաձայն)  կ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af-ZA"/>
              </w:rPr>
              <w:t xml:space="preserve">երակրի աղում յոդի պարունակության պետական վերահսկողության ու դիտարկման իրականացման 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համար 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ժամանակացույց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ի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կազմման 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af-ZA"/>
              </w:rPr>
              <w:t xml:space="preserve">և 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արդյունքների վերաբերյալ 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af-ZA"/>
              </w:rPr>
              <w:t>տեղեկատվության փոխանակ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ման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af-ZA"/>
              </w:rPr>
              <w:t xml:space="preserve"> ու հանրայնաց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մ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ան աշխատանքները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. </w:t>
            </w:r>
          </w:p>
          <w:p w:rsidR="00454C07" w:rsidRPr="00961A30" w:rsidRDefault="000E2ED8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ապահովում է </w:t>
            </w:r>
            <w:r w:rsidR="00454C07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ննդամթերքի և կերի անվտանգության, անասնաբուժության և բուսասանիտարիայի բնագավառներում նախորդ տարվա վերլուծությունների արդյունքներից ելնելով, օրենսդրությամբ սահմանված կարգով ճանաչված/հաստատված գիտական կենտրոններին (համագործակցում և համատեղ կազմվում է ռիսկի գնահատման ծրագիր) յուրաքանչյուր ոլորտների համար առնվազն  երկու ռիսկի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գնահատման պատվիրակման աշխատանքները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(վտանգի նույնականացում,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բնութագրում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վտանգին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ենթակա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լինելու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կամ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վտանգի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հանդեպ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անպաշտպանվածության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աստիճանի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գնահատում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). </w:t>
            </w:r>
          </w:p>
          <w:p w:rsidR="00CF0E71" w:rsidRPr="00961A30" w:rsidRDefault="00CF0E7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ապահովում է Հայաստանի Հանրապետության սահմանով ներմուծված սննդամթերքի, անասնաբուժական և բուսասանիտարական հսկման ենթակա բեռների ըստ ռիսկայնության դասակարգման չափանիշների և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ռիսկի կառավարման (գնահատման) մեթոդաբանության մշակման, անհրաժեշտության դեպքում </w:t>
            </w:r>
            <w:r w:rsidR="00764A48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առնվազն երեք տարին մեկ</w:t>
            </w:r>
            <w:r w:rsidR="00764A4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դրա վերանայման աշխատանքները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` ելնելով միջազգային, ԵՄ-ի և ԵԱՏՄ-ի</w:t>
            </w:r>
            <w:r w:rsidRPr="00961A30">
              <w:rPr>
                <w:rFonts w:ascii="Arial" w:hAnsi="Arial" w:cs="Arial"/>
                <w:color w:val="000000" w:themeColor="text1"/>
                <w:sz w:val="24"/>
                <w:szCs w:val="24"/>
                <w:lang w:val="hy-AM"/>
              </w:rPr>
              <w:t xml:space="preserve"> 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անդամակցության երկրների ներդրված լավագույն փորձից.</w:t>
            </w:r>
          </w:p>
          <w:p w:rsidR="007C5CD9" w:rsidRPr="00961A30" w:rsidRDefault="007C5CD9" w:rsidP="00454C07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3C5E15" w:rsidRPr="00961A30" w:rsidRDefault="007C5CD9" w:rsidP="00A3026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Իրավունքները՝</w:t>
            </w:r>
          </w:p>
          <w:p w:rsidR="00DC5D33" w:rsidRPr="00961A30" w:rsidRDefault="00DC5D33" w:rsidP="00DC5D33">
            <w:pPr>
              <w:tabs>
                <w:tab w:val="left" w:pos="1134"/>
              </w:tabs>
              <w:spacing w:after="0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  <w:p w:rsidR="00512C50" w:rsidRPr="00961A30" w:rsidRDefault="00512C50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կերի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բուսասանիտարական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ռիսկերի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կառավարման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մեթոդների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մշակման, նոր ծրագրերի ներդրման նպատակով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ինչպես Տեսչական մարմնի ներսում, այնպես էլ միջազգային համագործակցության շրջանակներում կազմակերպվող 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քննարկումների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սեմինարների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 խ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որհրդակցությունների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ժողովների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ընթացքում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 քննարկվող հարցերի շու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ջ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ներկայացնել 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Վարչության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դիրքորոշ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ում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ը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համապատասխան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առաջարկություններ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 բարձրացված խնդիրների լուծման տարբերակներ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961A30">
              <w:rPr>
                <w:rFonts w:ascii="Sylfaen" w:eastAsia="MS Mincho" w:hAnsi="Sylfaen" w:cs="MS Mincho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512C50" w:rsidRPr="00961A30" w:rsidRDefault="00512C50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մասնակցել 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կերի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բուսասանիտարիայի բնագավառներում ռիսկը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գնահատողների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BD201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տնտես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վար</w:t>
            </w:r>
            <w:r w:rsidR="0003109A" w:rsidRPr="0003109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ող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սուբյեկտների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գիտական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շրջանակների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ներկայացուցիչների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շահագրգիռ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կողմերի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միջև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(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ներառյալ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`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Տեսչական մարմնի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ստորաբաժանումները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տարածքային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մարմինները) անցկացվող քննարկումներին, խորհրդակցություններին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՝ ներկայացնելով Վարչության դիրքորոշումը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CC5BD6" w:rsidRPr="00961A30" w:rsidRDefault="003E0156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հանդես գալ </w:t>
            </w:r>
            <w:r w:rsidR="00CC5BD6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սննդամթերքի և կերի անվտանգության, անասնաբուժության և բուսասանիտարիայի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ոլորտներում </w:t>
            </w:r>
            <w:r w:rsidR="00CC5BD6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ռիսկերի կառավարման նոր մեթոդների մշակման առաջարկությամբ և նախաձեռնությամբ</w:t>
            </w:r>
            <w:r w:rsidR="00BC5350"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847AC5" w:rsidRPr="00961A30" w:rsidRDefault="00847AC5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մասնակցել Վարչության գործունեության ոլորտին, վերջինիս գործառույթներին առնչվող ծրագրերի, նախագծերի մշակման աշխատանքներին.</w:t>
            </w:r>
          </w:p>
          <w:p w:rsidR="002B5A42" w:rsidRPr="00961A30" w:rsidRDefault="002B5A42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Վարչության </w:t>
            </w:r>
            <w:r w:rsidR="00847AC5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աշխատողներից </w:t>
            </w:r>
            <w:r w:rsidR="00927C49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պահանջել </w:t>
            </w:r>
            <w:r w:rsidR="00847AC5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իրենց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վերապահված լիազորությունների կատարման, գործառույթների իրականացման, կատարվող աշխատանքների ընթացքի և իրականացված ծրագրերի, աշխատանքների արդյունքների վերաբերյալ</w:t>
            </w:r>
            <w:r w:rsidR="000B51CC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հաշվետվություններ, զեկուցագրեր</w:t>
            </w:r>
            <w:r w:rsidR="00847AC5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անհրաժեշտ փաստաթղթեր և տեղեկատվություն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775518" w:rsidRPr="00961A30" w:rsidRDefault="00A30269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Տեսչական մարմնի</w:t>
            </w:r>
            <w:r w:rsidR="0077551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կառուցվածքային</w:t>
            </w:r>
            <w:r w:rsidR="0077551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ստորաբաժանումներից, այլ մարմիններից, պաշտոնատար անձանցից </w:t>
            </w:r>
            <w:r w:rsidR="00927C4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պահանջել </w:t>
            </w:r>
            <w:r w:rsidR="0077551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Վարչության առջև դրված գործառույթների և խնդիրների իրականացման հետ կապված անհրաժեշտ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տեղեկատվությու</w:t>
            </w:r>
            <w:r w:rsidR="0077551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 և նյութեր</w:t>
            </w:r>
            <w:r w:rsidR="00291E72"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775518" w:rsidRPr="00961A30" w:rsidRDefault="00775518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Վարչության առջև դրված խնդիրների և գործառույթների իրականացման հետ կապված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հրավիրել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խորհրդակցություններ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ինչպես նաև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մասնակցել 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Տեսչական մարմնի իրավասությանը վերապահված խնդիրների, գործառույթների հետ կապված խորհրդակցություններին և քննարկումներին</w:t>
            </w:r>
            <w:r w:rsidR="00DC5D33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քննարկվող հարցերի շուրջ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ներկայացնել 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իր կողմից ղեկավարվող կառուցվածքային ստորաբաժանման </w:t>
            </w:r>
            <w:r w:rsidR="002A01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դիրքորոշում</w:t>
            </w:r>
            <w:r w:rsidR="002A0133" w:rsidRPr="002A01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ը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և </w:t>
            </w:r>
            <w:r w:rsidR="002A0133" w:rsidRPr="002A01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բարձրացված խնդիրների լուծմանն ուղղված 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համապատասխան 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առաջարկություններ</w:t>
            </w:r>
            <w:r w:rsidR="002A0133" w:rsidRPr="002A01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ը</w:t>
            </w:r>
            <w:r w:rsidR="00624A4D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</w:t>
            </w:r>
            <w:r w:rsidR="00DC5D33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 </w:t>
            </w:r>
          </w:p>
          <w:p w:rsidR="00775518" w:rsidRPr="00961A30" w:rsidRDefault="00775518" w:rsidP="007C5CD9">
            <w:pPr>
              <w:spacing w:after="0" w:line="240" w:lineRule="auto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</w:p>
          <w:p w:rsidR="007C5CD9" w:rsidRPr="00961A30" w:rsidRDefault="007C5CD9" w:rsidP="00E40093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Պարտականությունները՝</w:t>
            </w:r>
          </w:p>
          <w:p w:rsidR="007C5CD9" w:rsidRPr="00961A30" w:rsidRDefault="007C5CD9" w:rsidP="007C5CD9">
            <w:pPr>
              <w:pStyle w:val="ListParagrap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</w:p>
          <w:p w:rsidR="0093602F" w:rsidRPr="00961A30" w:rsidRDefault="00CE624F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սննդամթերքի</w:t>
            </w:r>
            <w:r w:rsidRPr="00961A30">
              <w:rPr>
                <w:rStyle w:val="Emphasis"/>
                <w:rFonts w:ascii="Courier New" w:hAnsi="Courier New" w:cs="Courier New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և</w:t>
            </w:r>
            <w:r w:rsidRPr="00961A30">
              <w:rPr>
                <w:rStyle w:val="Emphasis"/>
                <w:rFonts w:ascii="GHEA Grapalat" w:hAnsi="GHEA Grapalat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կերի</w:t>
            </w:r>
            <w:r w:rsidRPr="00961A30">
              <w:rPr>
                <w:rStyle w:val="Emphasis"/>
                <w:rFonts w:ascii="Courier New" w:hAnsi="Courier New" w:cs="Courier New"/>
                <w:i w:val="0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անվտանգության</w:t>
            </w:r>
            <w:r w:rsidRPr="00961A30">
              <w:rPr>
                <w:rStyle w:val="Emphasis"/>
                <w:rFonts w:ascii="GHEA Grapalat" w:hAnsi="GHEA Grapalat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անասնաբուժության</w:t>
            </w:r>
            <w:r w:rsidRPr="00961A30">
              <w:rPr>
                <w:rStyle w:val="Emphasis"/>
                <w:rFonts w:ascii="GHEA Grapalat" w:hAnsi="GHEA Grapalat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բուսասանիտարիայի</w:t>
            </w:r>
            <w:r w:rsidRPr="00961A30">
              <w:rPr>
                <w:rStyle w:val="Emphasis"/>
                <w:rFonts w:ascii="GHEA Grapalat" w:hAnsi="GHEA Grapalat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բնագավառների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ռիսկերի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բացահայտման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բնութագրման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և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ա</w:t>
            </w:r>
            <w:r w:rsidR="00F42561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յ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դ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բացահայտված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ռիսկերի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կառավարման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նպատակով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վերլուծել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գնահատել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վերահսկման օբյեկտները՝ ըստ 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ռիսկի գործոնների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վերահսկման օբյեկտները դասակարգ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ըստ ռիսկայնության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ինչպես նաև 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մշակել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ներդնել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վերահսկողության առավել արդյունավետ և նպատակաուղղված մեխանիզմներ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  <w:p w:rsidR="00B443D3" w:rsidRPr="00961A30" w:rsidRDefault="00B443D3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սննդամթերքի անվտանգության բնագավառում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հայտնաբերված վտանգավոր սննդամթերքի, սննդամթերքի հետ անմիջական շփման մեջ գտնվող վտանգավոր նյութերի ամբողջ խմբաքանակի շուկայից հետկանչման գործընթացի վերահսկողության նպատակով այս գործընթացում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դրա շրջանառության հետ կապված ռիսկի տեսակի, ծավալի և աստիճանի վերլուծությունը: Սննդամթերքի անվտանգության ոլորտի համար սահմանված ռիսկայնության չափանիշներով պայմանավորված,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ոլորտի իրավիճակի վերլուծություն և ըստ ոլորտի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(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նաև ըստ գործունեության տեսակների, անհատական և տեղայնության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իրականացնել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ռիսկայնության (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բարձր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ցածր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դասակարգում.</w:t>
            </w:r>
          </w:p>
          <w:p w:rsidR="00B443D3" w:rsidRPr="00961A30" w:rsidRDefault="00B443D3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բուսասանիտարիայի բնագավառում </w:t>
            </w:r>
            <w:r w:rsidR="0084745F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վնասակար օրգանիզմի հայտնաբերման դեպքում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իրականացնել</w:t>
            </w:r>
            <w:r w:rsidR="0084745F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վնասակար օրգանիզմի ռիսկի վերլուծություն տվյալ տարածքի համար, </w:t>
            </w:r>
            <w:r w:rsidR="0084745F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ձեռնարկված միջոցառումների շարունակման, դադարեցման կամ փոփոխման անհրաժեշտությունը պարզելու նպատակով: Այս ոլորտում ռիսկի վերլուծության նպատակով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="0084745F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կենսաբանական և տնտեսական տվյալների գնահատում՝ վնասակար օրգանիզմների կարգավորման անհրաժեշտությունը որոշելու, դրանց դեմ պայքարի բուսասանիտարական միջոցառումներ իրականացնելու կամ բուսասանիտարական միջոցառումներն ուժեղացնելու նպատակով.</w:t>
            </w:r>
          </w:p>
          <w:p w:rsidR="0084745F" w:rsidRPr="00961A30" w:rsidRDefault="0084745F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կերի անվտանգության և անասնաբուժության բնագավառներում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նշված ոլորտների ռիսկի վերլուծություն, այսինքն</w:t>
            </w:r>
            <w:r w:rsidR="00240A02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որոշել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վտանգի առաջացման հավանականությունը և դրա հավանական ազդեցության հնարավոր հետևանքները կենդանու առողջության վրա,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նույնականացնել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բնութագրել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վտանգի աղբյուրը,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վտանգին ենթակա լինելու կամ վտանգի հանդեպ անպաշտպանվածության աստիճանը և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բնութագրել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ռիսկը: Ռիսկի գնահատման արդյունքների հիման վրա համապատասխան կառուցվածքային ստորաբաժանումներին </w:t>
            </w:r>
            <w:r w:rsidR="00240A02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անհրաժեշտ մեթոդական ցուցումներ ռիսկի կանխմանը, վերացմանը կամ նվազեցմանն ուղղված համապատասխան գործողությունների, այդ թվում՝ վերահսկողության միջոցառումների կիրառման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առնչությամբ.</w:t>
            </w:r>
          </w:p>
          <w:p w:rsidR="0084745F" w:rsidRPr="00961A30" w:rsidRDefault="0084745F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Տեսչական մարմնի վերահսկողության ոլորտներում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ստուգումները պլանավորելու նպատակով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հետազոտել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Տեսչական մարմնի վերահսկողության ոլորտը,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մշակել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տվյալ ոլորտում տնտեսավարող սուբյեկտների գործունեության ռիսկայնության աստիճանը որոշող չափանիշները, որոնք պետք է ներառեն տնտեսավարող սուբյեկտի գործունեության ոլորտի ռիսկը և (կամ) տնտեսավարող սուբյեկտի անհատական ռիսկերի հանրագումարը: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Ստուգումների տարեկան ծրագիրը նույնպես կազմվում է՝ հաշվի առնելով Վարչության պետի կողմից</w:t>
            </w:r>
            <w:r w:rsidR="00F42561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տնտեսավարող սուբյեկտների գործունեության ռիսկայնության աստիճանը գնահատող չափանիշների հիման վրա որոշված տնտեսվարող սուբյեկտների ռիսկայնությունը.</w:t>
            </w:r>
          </w:p>
          <w:p w:rsidR="006D4D40" w:rsidRPr="00961A30" w:rsidRDefault="006D4D40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սննդամթերքի անվտանգության, անասնաբուժության և բուսասանիտարիայի ոլորտներում մարդու կյանքին և առողջությանը սպառնացող վտանգի առաջացման հավանականությունը և այդ վտանգի ազդեցության աստիճանը որոշելու, ռիսկը բնութագրելու ու գնահատելու, կառավարելու, ռիսկերի նկարագրությունը և վերահսկողությունն ապահովելու նպատակով </w:t>
            </w:r>
            <w:r w:rsidR="00240A02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վերը նշված ոլորտներում պետական վերահսկողության շրջանակներում ռիսկի կանխմանը, վերացմանը կամ նվազեցմանն ուղղված համապատասխան գործողությունների ծրագիր, այդ թվում՝ կատարման ենթակա վերահսկողության անհրաժեշտ միջոցառումներ.</w:t>
            </w:r>
          </w:p>
          <w:p w:rsidR="006D4D40" w:rsidRPr="00961A30" w:rsidRDefault="00240A02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ռիսկի վերլուծություն,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կառավարել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բացահայտված ռիսկերը նաև  սահմանային պետական վերահսկողության շրջանակներում: Մասնավորապես՝ ներմուծվող սննդամթերքի, սննդամթերքի հետ շփվող նյութերի և սննդային ու կենսաբանական ակտիվ հավելումների ռիսկայնությունը որոշող չափանիշների հիման վրա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ներմուծվող բեռի ռիսկայնությունը, սահմանային հսիչ կետերին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տրամադրել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անհրաժեշտ մեթոդական ցուցումներ ներմուծվող բեռի վտանգների կանխման ու նվազեցման և սահմանային անցման կետերում հսկողության համապատասխան տեսակի ընտրության ուղղությամբ.</w:t>
            </w:r>
            <w:r w:rsidR="00CE6702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FE49F6" w:rsidRPr="00961A30" w:rsidRDefault="00FE49F6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տնտեսավարողների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գործունեության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կենդանական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ծագման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հումքի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կերերի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կերային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հավելումների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դեղամիջոցների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բուսասանիտարական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հսկման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ենթակա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ապրանքների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պեստիցիդների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ագրոքիմիկատների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շրջանառության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փուլերի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մոնիթորինգի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արդյունքների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ուսումնասիրության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վերլուծության հիման վրա, մոնիթորինգի արդյունքում խնդիրների բացահայտման դեպքում, Տեսչական մարմնի ղեկավարին ներկայացնել այդ խնդիրների վերացմանն ուղղված գործողությունների ծրագիր, մասնագիտական առաջարկություններ՝ համապատասխան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հիմնավորումներով և անհրաժեշտ փաստաթղթերով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FE49F6" w:rsidRPr="00961A30" w:rsidRDefault="00FE49F6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կերի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բուսասանիտարիայի ոլորտներում ռիսկերի կառավարմանն ուղղված իրավական ակտերի նախագծերի, այլ գրությունների և փաստաթղթերի վերաբերյալ ներկայացնել 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Վարչության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դիրքորոշում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ը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և 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համապատասխան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առաջարկություն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93602F" w:rsidRPr="00961A30" w:rsidRDefault="0093602F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Տեսչական մարմնի ղեկավարին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ներկայացնել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զեկուցումներ՝ 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կերի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բուսասանիտարիայի բնագավառներում ռիսկերի բացահայտման, նվազեցման և դրանց կանխարգելման նպատակով իրականացվող գործողությունների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կատարվող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աշխատանքների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.</w:t>
            </w:r>
          </w:p>
          <w:p w:rsidR="003C5E15" w:rsidRPr="00961A30" w:rsidRDefault="007A14F0" w:rsidP="0093602F">
            <w:pPr>
              <w:pStyle w:val="ListParagraph"/>
              <w:numPr>
                <w:ilvl w:val="0"/>
                <w:numId w:val="13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ուսումնասիրել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Վարչության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գործառույթները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կանոնակարգող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և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գործառույթների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իրականացմանն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առնչվող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իրավական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ակտերը</w:t>
            </w:r>
            <w:r w:rsidR="00CF0E71"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 xml:space="preserve">, օրենսդրության խախտումների, հակասությունների և բացերի հայտնաբերման դեպքում ներկայացնել դրանց </w:t>
            </w:r>
            <w:r w:rsidR="0093602F"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 xml:space="preserve">վերացման, օրենսդրության կատարելագործման վերաբերյալ </w:t>
            </w:r>
            <w:r w:rsidR="00CF0E71"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առաջարկություններ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>.</w:t>
            </w:r>
          </w:p>
        </w:tc>
      </w:tr>
      <w:tr w:rsidR="00961A30" w:rsidRPr="00961A30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61A30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3.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Պաշտոնին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ներկայացվող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պահանջները</w:t>
            </w:r>
          </w:p>
          <w:p w:rsidR="0000101D" w:rsidRPr="00961A30" w:rsidRDefault="003C5E15" w:rsidP="0043050E">
            <w:pPr>
              <w:pStyle w:val="NormalWeb"/>
              <w:spacing w:before="0" w:beforeAutospacing="0" w:after="0" w:afterAutospacing="0"/>
              <w:ind w:firstLine="38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3.1.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Կրթություն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որակավորման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աստիճանը</w:t>
            </w:r>
          </w:p>
          <w:tbl>
            <w:tblPr>
              <w:tblStyle w:val="TableGrid"/>
              <w:tblW w:w="9564" w:type="dxa"/>
              <w:tblLook w:val="04A0" w:firstRow="1" w:lastRow="0" w:firstColumn="1" w:lastColumn="0" w:noHBand="0" w:noVBand="1"/>
            </w:tblPr>
            <w:tblGrid>
              <w:gridCol w:w="458"/>
              <w:gridCol w:w="2145"/>
              <w:gridCol w:w="2448"/>
              <w:gridCol w:w="4513"/>
            </w:tblGrid>
            <w:tr w:rsidR="00961A30" w:rsidRPr="00961A30" w:rsidTr="00B6398F">
              <w:trPr>
                <w:trHeight w:val="92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</w:rPr>
                    <w:t>Ուղղություն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</w:rPr>
                    <w:t>Ճարտարագիտու-թյուն, արդյունաբերություն և շինարարություն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25DB" w:rsidRPr="00961A30" w:rsidRDefault="002325DB" w:rsidP="002953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  <w:tr w:rsidR="00961A30" w:rsidRPr="00961A30" w:rsidTr="00B6398F">
              <w:trPr>
                <w:trHeight w:val="92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398F" w:rsidRPr="00961A30" w:rsidRDefault="00B6398F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  <w:lang w:val="hy-AM"/>
                    </w:rPr>
                    <w:t>2.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398F" w:rsidRPr="00961A30" w:rsidRDefault="00B6398F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398F" w:rsidRPr="00961A30" w:rsidRDefault="00B6398F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</w:rPr>
                    <w:t>Արդյունաբերություն և տեխնոլոգիա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98F" w:rsidRPr="00961A30" w:rsidRDefault="00B6398F" w:rsidP="002953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 w:themeColor="text1"/>
                      <w:lang w:val="hy-AM"/>
                    </w:rPr>
                  </w:pPr>
                </w:p>
              </w:tc>
            </w:tr>
          </w:tbl>
          <w:p w:rsidR="002325DB" w:rsidRPr="00961A30" w:rsidRDefault="002325DB" w:rsidP="002325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</w:p>
          <w:p w:rsidR="008E2B74" w:rsidRPr="00961A30" w:rsidRDefault="002325DB" w:rsidP="002325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</w:pPr>
            <w:r w:rsidRPr="00961A30"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9"/>
              <w:gridCol w:w="2615"/>
              <w:gridCol w:w="6200"/>
            </w:tblGrid>
            <w:tr w:rsidR="00961A30" w:rsidRPr="004E2EA2" w:rsidTr="00D71B5A">
              <w:trPr>
                <w:trHeight w:val="89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1.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6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</w:tr>
            <w:tr w:rsidR="00961A30" w:rsidRPr="004E2EA2" w:rsidTr="00D71B5A">
              <w:trPr>
                <w:trHeight w:val="344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2.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6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Սոցիալական և վարքաբանական գիտություններ</w:t>
                  </w:r>
                </w:p>
              </w:tc>
            </w:tr>
          </w:tbl>
          <w:p w:rsidR="002325DB" w:rsidRPr="00961A30" w:rsidRDefault="002325DB" w:rsidP="002325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</w:pPr>
          </w:p>
          <w:p w:rsidR="008E2B74" w:rsidRPr="0081551F" w:rsidRDefault="008E2B74" w:rsidP="002325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</w:pPr>
            <w:r w:rsidRPr="00961A30"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"/>
              <w:gridCol w:w="2217"/>
              <w:gridCol w:w="3249"/>
              <w:gridCol w:w="2533"/>
              <w:gridCol w:w="1037"/>
            </w:tblGrid>
            <w:tr w:rsidR="00961A30" w:rsidRPr="004E2EA2" w:rsidTr="00B6398F">
              <w:trPr>
                <w:trHeight w:val="89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1.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68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B6398F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</w:tr>
            <w:tr w:rsidR="00961A30" w:rsidRPr="004E2EA2" w:rsidTr="00B6398F">
              <w:trPr>
                <w:trHeight w:val="344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2.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Կենսաբանական գիտություններ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Շրջակա միջավայր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Քիմիա</w:t>
                  </w:r>
                </w:p>
              </w:tc>
            </w:tr>
          </w:tbl>
          <w:p w:rsidR="000F1905" w:rsidRDefault="000F1905" w:rsidP="00C63B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</w:p>
          <w:p w:rsidR="004E2EA2" w:rsidRDefault="004E2EA2" w:rsidP="00C63B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Cs/>
                <w:color w:val="000000" w:themeColor="text1"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2"/>
              <w:gridCol w:w="2160"/>
              <w:gridCol w:w="6847"/>
            </w:tblGrid>
            <w:tr w:rsidR="004E2EA2" w:rsidTr="004E2EA2">
              <w:tc>
                <w:tcPr>
                  <w:tcW w:w="552" w:type="dxa"/>
                </w:tcPr>
                <w:p w:rsidR="004E2EA2" w:rsidRDefault="004E2EA2" w:rsidP="00C63BF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1.</w:t>
                  </w:r>
                </w:p>
              </w:tc>
              <w:tc>
                <w:tcPr>
                  <w:tcW w:w="2160" w:type="dxa"/>
                </w:tcPr>
                <w:p w:rsidR="004E2EA2" w:rsidRDefault="004E2EA2" w:rsidP="00C63BF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B7300F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6847" w:type="dxa"/>
                </w:tcPr>
                <w:p w:rsidR="004E2EA2" w:rsidRDefault="004E2EA2" w:rsidP="00C63BF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B7300F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  <w:bookmarkStart w:id="0" w:name="_GoBack"/>
                  <w:bookmarkEnd w:id="0"/>
                </w:p>
              </w:tc>
            </w:tr>
          </w:tbl>
          <w:p w:rsidR="004E2EA2" w:rsidRDefault="004E2EA2" w:rsidP="00C63B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</w:p>
          <w:p w:rsidR="008E696F" w:rsidRPr="00961A30" w:rsidRDefault="003C5E15" w:rsidP="00C63B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3.2.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Մասնագիտական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գիտելիքները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Ունի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գործառույթների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իրականացման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համար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անհրաժեշտ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գիտելիքներ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>3.3.</w:t>
            </w:r>
            <w:r w:rsidRPr="00961A30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Աշխատանքային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ստաժը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աշխատանքի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բնագավառում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փորձը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Հանրային </w:t>
            </w:r>
            <w:r w:rsidR="00C63BFC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ծառայության</w:t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ա</w:t>
            </w:r>
            <w:r w:rsidR="00001067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ռնվազն երեք տարվա ստաժ կամ </w:t>
            </w:r>
            <w:r w:rsidR="007F7D8C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չորս </w:t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տարվա մասնագիտական աշխատանքային ստաժ կամ </w:t>
            </w:r>
            <w:r w:rsidR="00CF0E71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կենսաբանական գիտ</w:t>
            </w:r>
            <w:r w:rsidR="008D4DB6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ությունների կամ բնական գիտությունների կամ գյուղատնտեսության </w:t>
            </w:r>
            <w:r w:rsidR="00CF0E71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կամ առողջապահության </w:t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բնագավառում` </w:t>
            </w:r>
            <w:r w:rsidR="007F7D8C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չորս </w:t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տարվա աշխատանքային ստաժ.</w:t>
            </w:r>
            <w:r w:rsidRPr="00961A30"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  <w:br/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3.4.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Անհրաժեշտ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կոմպետենցիաներ</w:t>
            </w:r>
          </w:p>
          <w:p w:rsidR="00531B09" w:rsidRPr="00961A30" w:rsidRDefault="008E696F" w:rsidP="008E696F">
            <w:pPr>
              <w:pStyle w:val="NormalWeb"/>
              <w:spacing w:before="0" w:beforeAutospacing="0" w:after="0" w:afterAutospacing="0"/>
              <w:ind w:firstLine="375"/>
              <w:rPr>
                <w:rFonts w:ascii="GHEA Grapalat" w:hAnsi="GHEA Grapalat" w:cs="Sylfaen"/>
                <w:b/>
                <w:color w:val="000000" w:themeColor="text1"/>
              </w:rPr>
            </w:pPr>
            <w:r w:rsidRPr="00961A30">
              <w:rPr>
                <w:rFonts w:ascii="GHEA Grapalat" w:hAnsi="GHEA Grapalat" w:cs="Sylfaen"/>
                <w:b/>
                <w:color w:val="000000" w:themeColor="text1"/>
              </w:rPr>
              <w:t>Ընդհանրական կոմպետենցիաներ՝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Աշխատակազմի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կառավարում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Քաղաքականության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վերլուծություն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մոնիթորինգ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Որոշումների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կայացում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Ծրագրերի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կառավարում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Խնդրի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լուծում</w:t>
            </w:r>
          </w:p>
          <w:p w:rsidR="008E696F" w:rsidRPr="00961A30" w:rsidRDefault="0000101D" w:rsidP="00961A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Բարեվարքություն</w:t>
            </w:r>
            <w:r w:rsidRPr="00961A30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</w:rPr>
              <w:t xml:space="preserve"> </w:t>
            </w:r>
          </w:p>
          <w:p w:rsidR="008E696F" w:rsidRPr="00961A30" w:rsidRDefault="008E696F" w:rsidP="008E696F">
            <w:pPr>
              <w:spacing w:after="0" w:line="240" w:lineRule="auto"/>
              <w:rPr>
                <w:rFonts w:ascii="GHEA Grapalat" w:eastAsia="Calibri" w:hAnsi="GHEA Grapalat" w:cs="Sylfaen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Calibri" w:hAnsi="GHEA Grapalat" w:cs="Sylfaen"/>
                <w:b/>
                <w:color w:val="000000" w:themeColor="text1"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61A30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Բանակցությունների վարում</w:t>
            </w:r>
          </w:p>
          <w:p w:rsidR="00531B09" w:rsidRPr="00961A30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Փոփոխությունների կառավարում</w:t>
            </w:r>
          </w:p>
          <w:p w:rsidR="00531B09" w:rsidRPr="00961A30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Ժամանակի կառավարում</w:t>
            </w:r>
          </w:p>
          <w:p w:rsidR="00531B09" w:rsidRPr="00961A30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Ելույթների նախապատրաստում և կազմակերպում</w:t>
            </w:r>
          </w:p>
          <w:p w:rsidR="003C5E15" w:rsidRPr="00961A30" w:rsidRDefault="00531B09" w:rsidP="003E5004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Ժողովների և խորհրդակցությունների կազմակերպում և վարում</w:t>
            </w:r>
          </w:p>
        </w:tc>
      </w:tr>
      <w:tr w:rsidR="00961A30" w:rsidRPr="004E2EA2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61A30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4.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Կազմակերպական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շրջանակը</w:t>
            </w:r>
          </w:p>
          <w:p w:rsidR="00F973DA" w:rsidRPr="00961A30" w:rsidRDefault="00F973DA" w:rsidP="00F973DA">
            <w:pPr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4.1. Աշխատանքի կազմակերպման և ղեկավարման պատասխանատվությունը</w:t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Պատասխանատու է համապատասխան մարմնի կառուցվածքային ստորաբաժանման աշխատանքների կազմակերպման և ղեկավարման համար։</w:t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4.2. Որոշումներ կայացնելու լիազորություններ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Կայացնում է որոշումներ համապատասխան մարմնի կառուցվածքային ստորաբաժանման աշխատանքների կազմակերպման և ղեկավարման շրջանակներում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4.3. Գործունեության ազդեցություն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961A30" w:rsidRPr="00961A30" w:rsidRDefault="00961A30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Ունի տվյալ մարմնի մեկ կառուցվածքային ստորաբաժանման գործունեության վրա ազդեցություն և ազդեցություն</w:t>
            </w:r>
            <w:r w:rsidR="00A2585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ը սահմանափակվում է գերատեսչական մակարդակով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: </w:t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4.4.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Շփումներ և ներկայացուցչություն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F973DA" w:rsidRPr="00961A30" w:rsidRDefault="00F973DA" w:rsidP="00F973DA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ստորաբաժանումը: </w:t>
            </w:r>
          </w:p>
          <w:p w:rsidR="00F973DA" w:rsidRPr="00961A30" w:rsidRDefault="00F973DA" w:rsidP="00F973DA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4.5. Խնդիրների բարդությունը և դրանց լուծումը</w:t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3C5E15" w:rsidRPr="00961A30" w:rsidRDefault="00F973DA" w:rsidP="00F973DA">
            <w:pPr>
              <w:spacing w:after="113" w:line="25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լուծումներ։</w:t>
            </w:r>
          </w:p>
        </w:tc>
      </w:tr>
    </w:tbl>
    <w:p w:rsidR="001859CD" w:rsidRPr="00961A30" w:rsidRDefault="001859CD" w:rsidP="00E23E3E">
      <w:pPr>
        <w:rPr>
          <w:rFonts w:ascii="GHEA Grapalat" w:hAnsi="GHEA Grapalat"/>
          <w:color w:val="000000" w:themeColor="text1"/>
          <w:lang w:val="hy-AM"/>
        </w:rPr>
      </w:pPr>
    </w:p>
    <w:sectPr w:rsidR="001859CD" w:rsidRPr="00961A30" w:rsidSect="00910AF5">
      <w:pgSz w:w="12240" w:h="15840"/>
      <w:pgMar w:top="42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60B8"/>
    <w:multiLevelType w:val="multilevel"/>
    <w:tmpl w:val="8B48B35A"/>
    <w:lvl w:ilvl="0">
      <w:start w:val="1"/>
      <w:numFmt w:val="decimal"/>
      <w:lvlText w:val="%1)"/>
      <w:lvlJc w:val="left"/>
      <w:pPr>
        <w:ind w:left="3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93D7E95"/>
    <w:multiLevelType w:val="hybridMultilevel"/>
    <w:tmpl w:val="F42E4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38B12A9"/>
    <w:multiLevelType w:val="hybridMultilevel"/>
    <w:tmpl w:val="2632C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E4D78"/>
    <w:multiLevelType w:val="hybridMultilevel"/>
    <w:tmpl w:val="0D0024CE"/>
    <w:lvl w:ilvl="0" w:tplc="6668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3F6BF9"/>
    <w:multiLevelType w:val="hybridMultilevel"/>
    <w:tmpl w:val="D8420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84581"/>
    <w:multiLevelType w:val="hybridMultilevel"/>
    <w:tmpl w:val="3EE2B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D0928"/>
    <w:multiLevelType w:val="hybridMultilevel"/>
    <w:tmpl w:val="8E7E1DE8"/>
    <w:lvl w:ilvl="0" w:tplc="66683AD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6BAA143D"/>
    <w:multiLevelType w:val="hybridMultilevel"/>
    <w:tmpl w:val="19E02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02703"/>
    <w:multiLevelType w:val="hybridMultilevel"/>
    <w:tmpl w:val="BE5ED7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660AD"/>
    <w:multiLevelType w:val="hybridMultilevel"/>
    <w:tmpl w:val="48D209E0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1"/>
  </w:num>
  <w:num w:numId="5">
    <w:abstractNumId w:val="4"/>
  </w:num>
  <w:num w:numId="6">
    <w:abstractNumId w:val="8"/>
  </w:num>
  <w:num w:numId="7">
    <w:abstractNumId w:val="20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0"/>
  </w:num>
  <w:num w:numId="15">
    <w:abstractNumId w:val="17"/>
  </w:num>
  <w:num w:numId="16">
    <w:abstractNumId w:val="1"/>
  </w:num>
  <w:num w:numId="17">
    <w:abstractNumId w:val="15"/>
  </w:num>
  <w:num w:numId="18">
    <w:abstractNumId w:val="18"/>
  </w:num>
  <w:num w:numId="19">
    <w:abstractNumId w:val="6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01067"/>
    <w:rsid w:val="0000243C"/>
    <w:rsid w:val="00003568"/>
    <w:rsid w:val="0003109A"/>
    <w:rsid w:val="000826CE"/>
    <w:rsid w:val="000B51CC"/>
    <w:rsid w:val="000D6D50"/>
    <w:rsid w:val="000E2ED8"/>
    <w:rsid w:val="000F1905"/>
    <w:rsid w:val="0010100C"/>
    <w:rsid w:val="00107823"/>
    <w:rsid w:val="00113C7C"/>
    <w:rsid w:val="00143524"/>
    <w:rsid w:val="00151854"/>
    <w:rsid w:val="00155400"/>
    <w:rsid w:val="00173979"/>
    <w:rsid w:val="001755A0"/>
    <w:rsid w:val="001859CD"/>
    <w:rsid w:val="00186297"/>
    <w:rsid w:val="00194974"/>
    <w:rsid w:val="0019721A"/>
    <w:rsid w:val="001A5BCF"/>
    <w:rsid w:val="001D2BFE"/>
    <w:rsid w:val="001E6DC8"/>
    <w:rsid w:val="001F5027"/>
    <w:rsid w:val="00222347"/>
    <w:rsid w:val="002325DB"/>
    <w:rsid w:val="002336B9"/>
    <w:rsid w:val="002357E7"/>
    <w:rsid w:val="00240A02"/>
    <w:rsid w:val="00251AF0"/>
    <w:rsid w:val="0028191C"/>
    <w:rsid w:val="00291E72"/>
    <w:rsid w:val="002A0133"/>
    <w:rsid w:val="002A72E8"/>
    <w:rsid w:val="002B31B5"/>
    <w:rsid w:val="002B5A42"/>
    <w:rsid w:val="002E02FF"/>
    <w:rsid w:val="002E2AF9"/>
    <w:rsid w:val="002F0805"/>
    <w:rsid w:val="003000CF"/>
    <w:rsid w:val="00317CA3"/>
    <w:rsid w:val="00334754"/>
    <w:rsid w:val="00343519"/>
    <w:rsid w:val="00367C16"/>
    <w:rsid w:val="00367FEF"/>
    <w:rsid w:val="00381CCA"/>
    <w:rsid w:val="0039244E"/>
    <w:rsid w:val="003A7A0C"/>
    <w:rsid w:val="003C1641"/>
    <w:rsid w:val="003C5E15"/>
    <w:rsid w:val="003C7BD0"/>
    <w:rsid w:val="003D1668"/>
    <w:rsid w:val="003E0156"/>
    <w:rsid w:val="003E5004"/>
    <w:rsid w:val="00410FCA"/>
    <w:rsid w:val="00411E7F"/>
    <w:rsid w:val="00416585"/>
    <w:rsid w:val="00425257"/>
    <w:rsid w:val="0043050E"/>
    <w:rsid w:val="00430641"/>
    <w:rsid w:val="00435AAF"/>
    <w:rsid w:val="00454C07"/>
    <w:rsid w:val="00475322"/>
    <w:rsid w:val="004973F5"/>
    <w:rsid w:val="0049783D"/>
    <w:rsid w:val="004A2807"/>
    <w:rsid w:val="004B2E35"/>
    <w:rsid w:val="004E2EA2"/>
    <w:rsid w:val="004E48C0"/>
    <w:rsid w:val="004E51E1"/>
    <w:rsid w:val="004F182B"/>
    <w:rsid w:val="004F393F"/>
    <w:rsid w:val="004F453E"/>
    <w:rsid w:val="004F75F8"/>
    <w:rsid w:val="00504CE0"/>
    <w:rsid w:val="005112E6"/>
    <w:rsid w:val="00512C50"/>
    <w:rsid w:val="00531B09"/>
    <w:rsid w:val="00554281"/>
    <w:rsid w:val="0056446B"/>
    <w:rsid w:val="0056483E"/>
    <w:rsid w:val="00574F42"/>
    <w:rsid w:val="005F328E"/>
    <w:rsid w:val="005F50F5"/>
    <w:rsid w:val="00624A4D"/>
    <w:rsid w:val="00671C27"/>
    <w:rsid w:val="006A54A3"/>
    <w:rsid w:val="006A5519"/>
    <w:rsid w:val="006B1D27"/>
    <w:rsid w:val="006B5847"/>
    <w:rsid w:val="006B71F3"/>
    <w:rsid w:val="006C6421"/>
    <w:rsid w:val="006D4D40"/>
    <w:rsid w:val="006E6E3D"/>
    <w:rsid w:val="00704C28"/>
    <w:rsid w:val="00764A48"/>
    <w:rsid w:val="0077425A"/>
    <w:rsid w:val="00775518"/>
    <w:rsid w:val="007A14F0"/>
    <w:rsid w:val="007A205F"/>
    <w:rsid w:val="007B5463"/>
    <w:rsid w:val="007C5CD9"/>
    <w:rsid w:val="007D607D"/>
    <w:rsid w:val="007F7D8C"/>
    <w:rsid w:val="00802C83"/>
    <w:rsid w:val="0081551F"/>
    <w:rsid w:val="00815DDF"/>
    <w:rsid w:val="008160E4"/>
    <w:rsid w:val="0084745F"/>
    <w:rsid w:val="00847AC5"/>
    <w:rsid w:val="008526AC"/>
    <w:rsid w:val="00874E40"/>
    <w:rsid w:val="00893785"/>
    <w:rsid w:val="008A6654"/>
    <w:rsid w:val="008C7304"/>
    <w:rsid w:val="008D1A5F"/>
    <w:rsid w:val="008D4DB6"/>
    <w:rsid w:val="008E2B74"/>
    <w:rsid w:val="008E45CD"/>
    <w:rsid w:val="008E696F"/>
    <w:rsid w:val="00910AF5"/>
    <w:rsid w:val="00916FE1"/>
    <w:rsid w:val="009248A6"/>
    <w:rsid w:val="00927C49"/>
    <w:rsid w:val="0093602F"/>
    <w:rsid w:val="00953B3A"/>
    <w:rsid w:val="00960E23"/>
    <w:rsid w:val="00961A30"/>
    <w:rsid w:val="009623F8"/>
    <w:rsid w:val="009841A4"/>
    <w:rsid w:val="009906AC"/>
    <w:rsid w:val="009D0775"/>
    <w:rsid w:val="00A2585C"/>
    <w:rsid w:val="00A30269"/>
    <w:rsid w:val="00A34C3C"/>
    <w:rsid w:val="00A47B7E"/>
    <w:rsid w:val="00A871A7"/>
    <w:rsid w:val="00A92332"/>
    <w:rsid w:val="00A967F8"/>
    <w:rsid w:val="00AA3C07"/>
    <w:rsid w:val="00AA4C3B"/>
    <w:rsid w:val="00AB6565"/>
    <w:rsid w:val="00AC7B3D"/>
    <w:rsid w:val="00AE2B84"/>
    <w:rsid w:val="00B100EE"/>
    <w:rsid w:val="00B153E2"/>
    <w:rsid w:val="00B21A21"/>
    <w:rsid w:val="00B24D62"/>
    <w:rsid w:val="00B443D3"/>
    <w:rsid w:val="00B6398F"/>
    <w:rsid w:val="00B77172"/>
    <w:rsid w:val="00BC2567"/>
    <w:rsid w:val="00BC5350"/>
    <w:rsid w:val="00BD2010"/>
    <w:rsid w:val="00BF53A6"/>
    <w:rsid w:val="00C21983"/>
    <w:rsid w:val="00C26ACD"/>
    <w:rsid w:val="00C45438"/>
    <w:rsid w:val="00C602DA"/>
    <w:rsid w:val="00C61C6B"/>
    <w:rsid w:val="00C63BFC"/>
    <w:rsid w:val="00C927E5"/>
    <w:rsid w:val="00C9375E"/>
    <w:rsid w:val="00CA0885"/>
    <w:rsid w:val="00CB7C61"/>
    <w:rsid w:val="00CC37A1"/>
    <w:rsid w:val="00CC5BD6"/>
    <w:rsid w:val="00CC74C8"/>
    <w:rsid w:val="00CD0FA2"/>
    <w:rsid w:val="00CE624F"/>
    <w:rsid w:val="00CE6702"/>
    <w:rsid w:val="00CF0E71"/>
    <w:rsid w:val="00CF278C"/>
    <w:rsid w:val="00CF4092"/>
    <w:rsid w:val="00D03C5F"/>
    <w:rsid w:val="00D1029E"/>
    <w:rsid w:val="00D154A6"/>
    <w:rsid w:val="00D17BF4"/>
    <w:rsid w:val="00D45F52"/>
    <w:rsid w:val="00D5124F"/>
    <w:rsid w:val="00D817F6"/>
    <w:rsid w:val="00DB7A3A"/>
    <w:rsid w:val="00DC29D8"/>
    <w:rsid w:val="00DC5D33"/>
    <w:rsid w:val="00E0676B"/>
    <w:rsid w:val="00E23E3E"/>
    <w:rsid w:val="00E33C01"/>
    <w:rsid w:val="00E40093"/>
    <w:rsid w:val="00E46A55"/>
    <w:rsid w:val="00E64B41"/>
    <w:rsid w:val="00E72386"/>
    <w:rsid w:val="00E93E8C"/>
    <w:rsid w:val="00E94F9B"/>
    <w:rsid w:val="00EC19CE"/>
    <w:rsid w:val="00ED6921"/>
    <w:rsid w:val="00F07F44"/>
    <w:rsid w:val="00F15292"/>
    <w:rsid w:val="00F153B7"/>
    <w:rsid w:val="00F42561"/>
    <w:rsid w:val="00F43184"/>
    <w:rsid w:val="00F467ED"/>
    <w:rsid w:val="00F55B09"/>
    <w:rsid w:val="00F574AD"/>
    <w:rsid w:val="00F6352B"/>
    <w:rsid w:val="00F6357C"/>
    <w:rsid w:val="00F973DA"/>
    <w:rsid w:val="00FA2439"/>
    <w:rsid w:val="00FA5CFE"/>
    <w:rsid w:val="00FC47DB"/>
    <w:rsid w:val="00FE49F6"/>
    <w:rsid w:val="00FF0D5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918E"/>
  <w15:docId w15:val="{AAE32385-AAEE-4B7B-B956-975C9D34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6C6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42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54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B0AE-0458-4963-A703-71D59730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2254</Words>
  <Characters>12852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267</cp:revision>
  <cp:lastPrinted>2019-03-13T08:19:00Z</cp:lastPrinted>
  <dcterms:created xsi:type="dcterms:W3CDTF">2019-10-29T10:53:00Z</dcterms:created>
  <dcterms:modified xsi:type="dcterms:W3CDTF">2025-11-07T07:02:00Z</dcterms:modified>
</cp:coreProperties>
</file>