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4CAAED77"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4D1F02">
        <w:rPr>
          <w:rFonts w:ascii="GHEA Grapalat" w:hAnsi="GHEA Grapalat"/>
          <w:b/>
          <w:lang w:val="hy-AM"/>
        </w:rPr>
        <w:t xml:space="preserve">ՍԱՀՄԱՆԱՅԻՆ ՊԵՏԱԿԱՆ ՎԵՐԱՀՍԿՈՂՈՒԹՅԱՆ ՀԱՄԱԿԱՐԳՄԱՆ </w:t>
      </w:r>
      <w:r w:rsidR="004F76CF" w:rsidRPr="001F154E">
        <w:rPr>
          <w:rFonts w:ascii="GHEA Grapalat" w:hAnsi="GHEA Grapalat"/>
          <w:b/>
          <w:lang w:val="hy-AM"/>
        </w:rPr>
        <w:t>ԲԱԺՆ</w:t>
      </w:r>
      <w:r w:rsidR="004F76CF">
        <w:rPr>
          <w:rFonts w:ascii="GHEA Grapalat" w:hAnsi="GHEA Grapalat"/>
          <w:b/>
          <w:lang w:val="hy-AM"/>
        </w:rPr>
        <w:t>ՈՒՄ</w:t>
      </w:r>
      <w:r w:rsidR="004F76CF" w:rsidRPr="007C6EA6">
        <w:rPr>
          <w:rFonts w:ascii="GHEA Grapalat" w:eastAsiaTheme="minorHAnsi" w:hAnsi="GHEA Grapalat" w:cstheme="minorBidi"/>
          <w:b/>
          <w:bCs/>
          <w:lang w:val="hy-AM"/>
        </w:rPr>
        <w:t xml:space="preserve">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6DF65952" w14:textId="77777777" w:rsidR="0033044A" w:rsidRDefault="0033044A" w:rsidP="0033044A">
      <w:pPr>
        <w:pStyle w:val="ListParagraph"/>
        <w:numPr>
          <w:ilvl w:val="0"/>
          <w:numId w:val="11"/>
        </w:numPr>
        <w:tabs>
          <w:tab w:val="left" w:pos="993"/>
        </w:tabs>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շրջանակային համաձայնագրերի միջոցով փորձաքննության ծառայություններ ձեռք բերելու յուրաքանչյուր դեպքում համակարգչային ծրագրի միջոցով` պատահականության սկզբունքով, շրջանակային համաձայնագրեր կնքած մասնակիցներից ընտրում է համապատասխան լաբորատորիաները,</w:t>
      </w:r>
    </w:p>
    <w:p w14:paraId="1ECD91F5" w14:textId="77777777" w:rsidR="0033044A" w:rsidRDefault="0033044A" w:rsidP="0033044A">
      <w:pPr>
        <w:pStyle w:val="ListParagraph"/>
        <w:numPr>
          <w:ilvl w:val="0"/>
          <w:numId w:val="11"/>
        </w:numPr>
        <w:tabs>
          <w:tab w:val="left" w:pos="993"/>
        </w:tabs>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ուսումնասիրում է լաբորատորիաների կողմից տրամադրվող լաբորատոր փորձաքննությունների արձանագրությունների վերաբերյալ տեղեկատվությունը և այն մուտքագրում էլեկտրոնային բազա,</w:t>
      </w:r>
    </w:p>
    <w:p w14:paraId="4F651E86" w14:textId="77777777" w:rsidR="0033044A" w:rsidRDefault="0033044A" w:rsidP="0033044A">
      <w:pPr>
        <w:pStyle w:val="ListParagraph"/>
        <w:numPr>
          <w:ilvl w:val="0"/>
          <w:numId w:val="11"/>
        </w:numPr>
        <w:tabs>
          <w:tab w:val="left" w:pos="993"/>
        </w:tabs>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կազմում է Բաժին մակագրված գրագրություններին ի պատասխան գրություններ, նախապատրաստում առաջարկություններ, տեղեկանքներ, հաշվետվություններ, զեկու</w:t>
      </w:r>
      <w:r>
        <w:rPr>
          <w:rFonts w:ascii="GHEA Grapalat" w:hAnsi="GHEA Grapalat" w:cs="Sylfaen"/>
          <w:sz w:val="24"/>
          <w:szCs w:val="24"/>
          <w:lang w:val="hy-AM"/>
        </w:rPr>
        <w:softHyphen/>
        <w:t>ցագրեր և այլ գրություններ,</w:t>
      </w:r>
    </w:p>
    <w:p w14:paraId="7550CF32" w14:textId="77777777" w:rsidR="0033044A" w:rsidRDefault="0033044A" w:rsidP="0033044A">
      <w:pPr>
        <w:pStyle w:val="ListParagraph"/>
        <w:numPr>
          <w:ilvl w:val="0"/>
          <w:numId w:val="11"/>
        </w:numPr>
        <w:tabs>
          <w:tab w:val="left" w:pos="993"/>
        </w:tabs>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ուսումնասիրում է սահմանային պետական վերահսկողության բաժինների գործունեությանն առնչվող իրավական ակտերը և առաջարկություններ ներկայացնում առկա օրենսդրական բացերը վերացնելու ուղղությամբ,</w:t>
      </w:r>
    </w:p>
    <w:p w14:paraId="3829AD2C" w14:textId="77777777" w:rsidR="0033044A" w:rsidRDefault="0033044A" w:rsidP="0033044A">
      <w:pPr>
        <w:pStyle w:val="ListParagraph"/>
        <w:numPr>
          <w:ilvl w:val="0"/>
          <w:numId w:val="11"/>
        </w:numPr>
        <w:tabs>
          <w:tab w:val="left" w:pos="993"/>
        </w:tabs>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ուսումնասիրում է Տեսչական մարմնի կողմից ներմուծվող սննդամթերքի փորձաքննություն կատարած կազմակերպությունների հետ կնքված փորձաքննության ծառայությունների մատուցման շրջանակային համաձայնագրերը, ինչպես նաև  կազմակերպությունների կողմից դուրս գրված հարկային հաշիվները և հանձնման-ընդունման արձանագրությունները։ Ուսումնասիրության արդյունքում </w:t>
      </w:r>
      <w:r>
        <w:rPr>
          <w:rFonts w:ascii="GHEA Grapalat" w:hAnsi="GHEA Grapalat" w:cs="Sylfaen"/>
          <w:sz w:val="24"/>
          <w:szCs w:val="24"/>
          <w:lang w:val="hy-AM"/>
        </w:rPr>
        <w:lastRenderedPageBreak/>
        <w:t>անհամապատասխանությունների կամ այլ խնդիրների հայտնաբերման դեպքում ներկայացնում է մանրամասն տեղեկատվություն, ինչպես նաև առաջարկություն խնդրի կանոնակարգման վերաբերյալ,</w:t>
      </w:r>
    </w:p>
    <w:p w14:paraId="31E53C23" w14:textId="34B4B2DC" w:rsidR="0033044A" w:rsidRDefault="0033044A" w:rsidP="0033044A">
      <w:pPr>
        <w:pStyle w:val="ListParagraph"/>
        <w:numPr>
          <w:ilvl w:val="0"/>
          <w:numId w:val="11"/>
        </w:numPr>
        <w:tabs>
          <w:tab w:val="left" w:pos="993"/>
        </w:tabs>
        <w:spacing w:after="0" w:line="360" w:lineRule="auto"/>
        <w:jc w:val="both"/>
        <w:rPr>
          <w:rFonts w:ascii="GHEA Grapalat" w:hAnsi="GHEA Grapalat" w:cs="Sylfaen"/>
          <w:sz w:val="24"/>
          <w:szCs w:val="24"/>
          <w:lang w:val="hy-AM"/>
        </w:rPr>
      </w:pPr>
      <w:r>
        <w:rPr>
          <w:rFonts w:ascii="GHEA Grapalat" w:hAnsi="GHEA Grapalat"/>
          <w:sz w:val="24"/>
          <w:szCs w:val="24"/>
          <w:lang w:val="hy-AM"/>
        </w:rPr>
        <w:t>առկա հնարավորությունների շրջանակներում</w:t>
      </w:r>
      <w:r>
        <w:rPr>
          <w:rFonts w:ascii="GHEA Grapalat" w:hAnsi="GHEA Grapalat" w:cs="Sylfaen"/>
          <w:sz w:val="24"/>
          <w:szCs w:val="24"/>
          <w:lang w:val="hy-AM"/>
        </w:rPr>
        <w:t xml:space="preserve"> իրականացնում է լաբորատոր փորձաքննությունների համար վճարների մասով նախկինում գոյացած պարտավորությունների հիմքերի վերհանում, վերլուծություն, վերջինիս արդյունքների հիման վրա ներկայացնում է առաջարկություններ։</w:t>
      </w:r>
    </w:p>
    <w:p w14:paraId="5C10DCB0" w14:textId="2C911D1F" w:rsidR="0033044A" w:rsidRPr="0033044A" w:rsidRDefault="0033044A" w:rsidP="0033044A">
      <w:pPr>
        <w:pStyle w:val="NormalWeb"/>
        <w:shd w:val="clear" w:color="auto" w:fill="FFFFFF"/>
        <w:spacing w:before="0" w:beforeAutospacing="0" w:after="240" w:afterAutospacing="0"/>
        <w:ind w:left="360"/>
        <w:jc w:val="both"/>
        <w:rPr>
          <w:rFonts w:ascii="GHEA Grapalat" w:eastAsiaTheme="minorHAnsi" w:hAnsi="GHEA Grapalat" w:cstheme="minorBidi"/>
          <w:b/>
          <w:lang w:val="hy-AM"/>
        </w:rPr>
      </w:pPr>
      <w:r w:rsidRPr="00E720D8">
        <w:rPr>
          <w:rFonts w:ascii="GHEA Grapalat" w:hAnsi="GHEA Grapalat"/>
          <w:lang w:val="hy-AM"/>
        </w:rPr>
        <w:t>Փորձագետին նախատեսվում է ներգրավել՝</w:t>
      </w:r>
      <w:r w:rsidRPr="00E06F1C">
        <w:rPr>
          <w:rFonts w:ascii="GHEA Grapalat" w:eastAsiaTheme="minorHAnsi" w:hAnsi="GHEA Grapalat" w:cstheme="minorBidi"/>
          <w:b/>
          <w:lang w:val="hy-AM"/>
        </w:rPr>
        <w:t xml:space="preserve"> պայմանագիր կնքելու օրվանից </w:t>
      </w:r>
      <w:r w:rsidRPr="0033044A">
        <w:rPr>
          <w:rFonts w:ascii="GHEA Grapalat" w:eastAsiaTheme="minorHAnsi" w:hAnsi="GHEA Grapalat" w:cstheme="minorBidi"/>
          <w:b/>
          <w:lang w:val="hy-AM"/>
        </w:rPr>
        <w:t>վեց ամիս</w:t>
      </w:r>
      <w:r w:rsidRPr="00E06F1C">
        <w:rPr>
          <w:rFonts w:ascii="GHEA Grapalat" w:eastAsiaTheme="minorHAnsi" w:hAnsi="GHEA Grapalat" w:cstheme="minorBidi"/>
          <w:b/>
          <w:lang w:val="hy-AM"/>
        </w:rPr>
        <w:t xml:space="preserve"> ժամ</w:t>
      </w:r>
      <w:r w:rsidRPr="00923746">
        <w:rPr>
          <w:rFonts w:ascii="GHEA Grapalat" w:eastAsiaTheme="minorHAnsi" w:hAnsi="GHEA Grapalat" w:cstheme="minorBidi"/>
          <w:b/>
          <w:lang w:val="hy-AM"/>
        </w:rPr>
        <w:t>կետ</w:t>
      </w:r>
      <w:r>
        <w:rPr>
          <w:rFonts w:ascii="GHEA Grapalat" w:eastAsiaTheme="minorHAnsi" w:hAnsi="GHEA Grapalat" w:cstheme="minorBidi"/>
          <w:b/>
          <w:lang w:val="hy-AM"/>
        </w:rPr>
        <w:t>ով</w:t>
      </w:r>
      <w:r w:rsidRPr="0033044A">
        <w:rPr>
          <w:rFonts w:ascii="GHEA Grapalat" w:eastAsiaTheme="minorHAnsi" w:hAnsi="GHEA Grapalat" w:cstheme="minorBidi"/>
          <w:b/>
          <w:lang w:val="hy-AM"/>
        </w:rPr>
        <w:t>:</w:t>
      </w:r>
    </w:p>
    <w:p w14:paraId="133E6762" w14:textId="77777777" w:rsidR="0033044A" w:rsidRDefault="0033044A" w:rsidP="0033044A">
      <w:pPr>
        <w:pStyle w:val="ListParagraph"/>
        <w:tabs>
          <w:tab w:val="left" w:pos="993"/>
        </w:tabs>
        <w:spacing w:after="0" w:line="360" w:lineRule="auto"/>
        <w:jc w:val="both"/>
        <w:rPr>
          <w:rFonts w:ascii="GHEA Grapalat" w:hAnsi="GHEA Grapalat" w:cs="Sylfaen"/>
          <w:sz w:val="24"/>
          <w:szCs w:val="24"/>
          <w:lang w:val="hy-AM"/>
        </w:rPr>
      </w:pP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proofErr w:type="spellStart"/>
      <w:r w:rsidRPr="00ED5B2F">
        <w:rPr>
          <w:rFonts w:ascii="GHEA Grapalat" w:eastAsiaTheme="minorHAnsi" w:hAnsi="GHEA Grapalat" w:cstheme="minorBidi"/>
          <w:b/>
          <w:bCs/>
        </w:rPr>
        <w:t>Փորձագետին</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ներկայացվող</w:t>
      </w:r>
      <w:proofErr w:type="spellEnd"/>
      <w:r w:rsidRPr="00ED5B2F">
        <w:rPr>
          <w:rFonts w:ascii="GHEA Grapalat" w:eastAsiaTheme="minorHAnsi" w:hAnsi="GHEA Grapalat" w:cstheme="minorBidi"/>
          <w:b/>
          <w:bCs/>
        </w:rPr>
        <w:t xml:space="preserve"> </w:t>
      </w:r>
      <w:proofErr w:type="spellStart"/>
      <w:r w:rsidRPr="00ED5B2F">
        <w:rPr>
          <w:rFonts w:ascii="GHEA Grapalat" w:eastAsiaTheme="minorHAnsi" w:hAnsi="GHEA Grapalat" w:cstheme="minorBidi"/>
          <w:b/>
          <w:bCs/>
        </w:rPr>
        <w:t>պահանջները</w:t>
      </w:r>
      <w:proofErr w:type="spellEnd"/>
    </w:p>
    <w:p w14:paraId="62C95CAE" w14:textId="765701E0" w:rsidR="00DA10E3" w:rsidRDefault="004F76CF"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46193E" w:rsidRPr="00ED5B2F">
        <w:rPr>
          <w:rFonts w:ascii="GHEA Grapalat" w:eastAsiaTheme="minorHAnsi" w:hAnsi="GHEA Grapalat" w:cstheme="minorBidi"/>
          <w:lang w:val="hy-AM"/>
        </w:rPr>
        <w:t>,</w:t>
      </w:r>
    </w:p>
    <w:p w14:paraId="1E40640F" w14:textId="3C999403" w:rsidR="00DA10E3" w:rsidRPr="004D1F02" w:rsidRDefault="004D1F02" w:rsidP="004D1F02">
      <w:pPr>
        <w:pStyle w:val="ListParagraph"/>
        <w:numPr>
          <w:ilvl w:val="0"/>
          <w:numId w:val="6"/>
        </w:numPr>
        <w:spacing w:after="0" w:line="360" w:lineRule="auto"/>
        <w:ind w:left="450"/>
        <w:jc w:val="both"/>
        <w:rPr>
          <w:rFonts w:ascii="GHEA Grapalat" w:hAnsi="GHEA Grapalat"/>
          <w:sz w:val="24"/>
          <w:szCs w:val="24"/>
          <w:lang w:val="hy-AM"/>
        </w:rPr>
      </w:pPr>
      <w:r w:rsidRPr="002018D9">
        <w:rPr>
          <w:rFonts w:ascii="GHEA Grapalat" w:hAnsi="GHEA Grapalat"/>
          <w:sz w:val="24"/>
          <w:szCs w:val="24"/>
          <w:lang w:val="hy-AM"/>
        </w:rPr>
        <w:t>լաբորատոր փորձաքննությունների ոլորտին առնչվող առնվազն երկու տարվա աշխատանքային ստաժ</w:t>
      </w:r>
    </w:p>
    <w:p w14:paraId="274B510B" w14:textId="77777777" w:rsidR="00ED5B2F" w:rsidRPr="00ED5B2F" w:rsidRDefault="007C6EA6"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hAnsi="GHEA Grapalat"/>
          <w:lang w:val="hy-AM"/>
        </w:rPr>
        <w:t>հ</w:t>
      </w:r>
      <w:proofErr w:type="spellStart"/>
      <w:r w:rsidR="00ED5B2F" w:rsidRPr="00847A1E">
        <w:rPr>
          <w:rFonts w:ascii="GHEA Grapalat" w:hAnsi="GHEA Grapalat"/>
        </w:rPr>
        <w:t>ամակարգչով</w:t>
      </w:r>
      <w:proofErr w:type="spellEnd"/>
      <w:r w:rsidR="00ED5B2F" w:rsidRPr="00847A1E">
        <w:rPr>
          <w:rFonts w:ascii="GHEA Grapalat" w:hAnsi="GHEA Grapalat"/>
        </w:rPr>
        <w:t xml:space="preserve"> </w:t>
      </w:r>
      <w:proofErr w:type="spellStart"/>
      <w:r w:rsidR="00ED5B2F" w:rsidRPr="00847A1E">
        <w:rPr>
          <w:rFonts w:ascii="GHEA Grapalat" w:hAnsi="GHEA Grapalat"/>
        </w:rPr>
        <w:t>աշխատելու</w:t>
      </w:r>
      <w:proofErr w:type="spellEnd"/>
      <w:r w:rsidR="00ED5B2F" w:rsidRPr="00847A1E">
        <w:rPr>
          <w:rFonts w:ascii="GHEA Grapalat" w:hAnsi="GHEA Grapalat"/>
        </w:rPr>
        <w:t xml:space="preserve"> </w:t>
      </w:r>
      <w:r w:rsidR="00ED5B2F">
        <w:rPr>
          <w:rFonts w:ascii="GHEA Grapalat" w:hAnsi="GHEA Grapalat"/>
          <w:lang w:val="hy-AM"/>
        </w:rPr>
        <w:t>հմտություններ,</w:t>
      </w:r>
    </w:p>
    <w:p w14:paraId="76410D31" w14:textId="5737E48C" w:rsidR="00A32EBC" w:rsidRPr="004D1F02" w:rsidRDefault="004D1F02" w:rsidP="004D1F02">
      <w:pPr>
        <w:pStyle w:val="ListParagraph"/>
        <w:numPr>
          <w:ilvl w:val="0"/>
          <w:numId w:val="6"/>
        </w:numPr>
        <w:spacing w:after="0" w:line="360" w:lineRule="auto"/>
        <w:ind w:left="450"/>
        <w:jc w:val="both"/>
        <w:rPr>
          <w:rFonts w:ascii="GHEA Grapalat" w:hAnsi="GHEA Grapalat"/>
          <w:sz w:val="24"/>
          <w:szCs w:val="24"/>
          <w:lang w:val="hy-AM"/>
        </w:rPr>
      </w:pPr>
      <w:r w:rsidRPr="002018D9">
        <w:rPr>
          <w:rFonts w:ascii="GHEA Grapalat" w:hAnsi="GHEA Grapalat"/>
          <w:sz w:val="24"/>
          <w:szCs w:val="24"/>
          <w:lang w:val="hy-AM"/>
        </w:rPr>
        <w:t>Հայաստանի Հանրապետության «Սննդամթերքի անվտանգության մասին», Սննդամթերքի անվտանգության պետական վերահսկողության մասին օրենքների, Հայաստանի Հանրապետության կառավարության 2014 թվականի հոկտեմբերի 16-ի N 1142-Ն, 2013 թվականի նոյեմբերի 14-ի N 1228-Ն, 2013 թվականի փետրվարի 21-ի N 218-Ն որոշման, սանիտարական, անասնաբուժասանիտարական և բուսասանիտարական ոլորտների Եվրասիական տնտեսական միության (Մաքսային միության) հանձնաժողովի</w:t>
      </w:r>
      <w:r w:rsidRPr="002018D9">
        <w:rPr>
          <w:rFonts w:cs="Calibri"/>
          <w:sz w:val="24"/>
          <w:szCs w:val="24"/>
          <w:lang w:val="hy-AM"/>
        </w:rPr>
        <w:t> </w:t>
      </w:r>
      <w:r w:rsidRPr="002018D9">
        <w:rPr>
          <w:rFonts w:ascii="GHEA Grapalat" w:hAnsi="GHEA Grapalat"/>
          <w:sz w:val="24"/>
          <w:szCs w:val="24"/>
          <w:lang w:val="hy-AM"/>
        </w:rPr>
        <w:t>իրավական բնույթի նորմատիվ իրավական ակտերի իմացություն։</w:t>
      </w:r>
    </w:p>
    <w:p w14:paraId="3FB369FE" w14:textId="77777777" w:rsidR="00493B9F" w:rsidRDefault="00A32EBC" w:rsidP="00493B9F">
      <w:pPr>
        <w:pStyle w:val="NormalWeb"/>
        <w:shd w:val="clear" w:color="auto" w:fill="FFFFFF"/>
        <w:spacing w:before="0" w:beforeAutospacing="0" w:after="240" w:afterAutospacing="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63689F48" w:rsidR="00A32EBC" w:rsidRPr="00ED5B2F" w:rsidRDefault="00A32EBC" w:rsidP="0033044A">
      <w:pPr>
        <w:pStyle w:val="NormalWeb"/>
        <w:shd w:val="clear" w:color="auto" w:fill="FFFFFF"/>
        <w:spacing w:before="0" w:beforeAutospacing="0" w:after="240" w:afterAutospacing="0" w:line="360" w:lineRule="auto"/>
        <w:ind w:firstLine="72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Բարեխղճորեն կատարել պայմանագրով ստանձնած աշխատանքները, պահպանել աշխատակազմի ներքին կարգապահական կանոնները, </w:t>
      </w:r>
      <w:r w:rsidRPr="00ED5B2F">
        <w:rPr>
          <w:rFonts w:ascii="GHEA Grapalat" w:eastAsiaTheme="minorHAnsi" w:hAnsi="GHEA Grapalat" w:cstheme="minorBidi"/>
          <w:lang w:val="hy-AM"/>
        </w:rPr>
        <w:lastRenderedPageBreak/>
        <w:t>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37264422" w14:textId="77777777" w:rsidR="005E4788" w:rsidRDefault="005E4788"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5210A2AB" w14:textId="51E69624"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C73435">
        <w:rPr>
          <w:rFonts w:ascii="GHEA Grapalat" w:eastAsiaTheme="minorHAnsi" w:hAnsi="GHEA Grapalat" w:cstheme="minorBidi"/>
          <w:b/>
          <w:bCs/>
          <w:lang w:val="hy-AM"/>
        </w:rPr>
        <w:t>4</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33044A" w:rsidRPr="0033044A">
        <w:rPr>
          <w:rFonts w:ascii="GHEA Grapalat" w:eastAsiaTheme="minorHAnsi" w:hAnsi="GHEA Grapalat" w:cstheme="minorBidi"/>
          <w:b/>
          <w:bCs/>
          <w:lang w:val="hy-AM"/>
        </w:rPr>
        <w:t>օգոստոսի 21</w:t>
      </w:r>
      <w:bookmarkStart w:id="0" w:name="_GoBack"/>
      <w:bookmarkEnd w:id="0"/>
      <w:r w:rsidRPr="00D120AC">
        <w:rPr>
          <w:rFonts w:ascii="GHEA Grapalat" w:eastAsiaTheme="minorHAnsi" w:hAnsi="GHEA Grapalat" w:cstheme="minorBidi"/>
          <w:b/>
          <w:bCs/>
          <w:lang w:val="hy-AM"/>
        </w:rPr>
        <w:t>-ը։</w:t>
      </w:r>
    </w:p>
    <w:p w14:paraId="633D5D8D" w14:textId="77777777" w:rsidR="00A32EBC" w:rsidRPr="00ED5B2F" w:rsidRDefault="00A32EBC" w:rsidP="0033044A">
      <w:pPr>
        <w:pStyle w:val="NormalWeb"/>
        <w:shd w:val="clear" w:color="auto" w:fill="FFFFFF"/>
        <w:spacing w:before="0" w:beforeAutospacing="0" w:after="240" w:afterAutospacing="0" w:line="360"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33044A">
      <w:pPr>
        <w:pStyle w:val="NormalWeb"/>
        <w:shd w:val="clear" w:color="auto" w:fill="FFFFFF"/>
        <w:spacing w:before="0" w:beforeAutospacing="0" w:after="240" w:afterAutospacing="0" w:line="360"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33044A">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33044A">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33044A">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33044A">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33044A">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33044A">
      <w:pPr>
        <w:pStyle w:val="NormalWeb"/>
        <w:numPr>
          <w:ilvl w:val="0"/>
          <w:numId w:val="7"/>
        </w:numPr>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33044A">
      <w:pPr>
        <w:pStyle w:val="NormalWeb"/>
        <w:shd w:val="clear" w:color="auto" w:fill="FFFFFF"/>
        <w:spacing w:before="0" w:beforeAutospacing="0" w:after="0" w:afterAutospacing="0" w:line="360" w:lineRule="auto"/>
        <w:ind w:left="450"/>
        <w:jc w:val="both"/>
        <w:rPr>
          <w:rFonts w:ascii="GHEA Grapalat" w:eastAsiaTheme="minorHAnsi" w:hAnsi="GHEA Grapalat" w:cstheme="minorBidi"/>
          <w:lang w:val="hy-AM"/>
        </w:rPr>
      </w:pPr>
    </w:p>
    <w:p w14:paraId="569A6CDC" w14:textId="77777777" w:rsidR="007C6EA6" w:rsidRPr="00752F3F" w:rsidRDefault="007C6EA6" w:rsidP="0033044A">
      <w:pPr>
        <w:spacing w:line="36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33044A">
      <w:pPr>
        <w:pStyle w:val="NormalWeb"/>
        <w:shd w:val="clear" w:color="auto" w:fill="FFFFFF"/>
        <w:spacing w:before="0" w:beforeAutospacing="0" w:after="240" w:afterAutospacing="0" w:line="360" w:lineRule="auto"/>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7777777" w:rsidR="007C6EA6" w:rsidRPr="00B249BB" w:rsidRDefault="007C6EA6" w:rsidP="0033044A">
      <w:pPr>
        <w:pStyle w:val="NormalWeb"/>
        <w:shd w:val="clear" w:color="auto" w:fill="FFFFFF"/>
        <w:spacing w:before="0" w:beforeAutospacing="0" w:after="240" w:afterAutospacing="0" w:line="360" w:lineRule="auto"/>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Կոմիտասի պողոտա 49/2, հեռ. 012-40-40-57/ ներքին համար՝ 188/:</w:t>
      </w:r>
    </w:p>
    <w:p w14:paraId="19F7DA3A" w14:textId="77777777" w:rsidR="00A32EBC" w:rsidRPr="00B249BB" w:rsidRDefault="00A32EBC" w:rsidP="0033044A">
      <w:pPr>
        <w:pStyle w:val="NormalWeb"/>
        <w:shd w:val="clear" w:color="auto" w:fill="FFFFFF"/>
        <w:spacing w:before="0" w:beforeAutospacing="0" w:after="0" w:afterAutospacing="0" w:line="360"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5E1750"/>
    <w:multiLevelType w:val="hybridMultilevel"/>
    <w:tmpl w:val="FF10C9E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69757C47"/>
    <w:multiLevelType w:val="hybridMultilevel"/>
    <w:tmpl w:val="EAC66DB6"/>
    <w:lvl w:ilvl="0" w:tplc="04190011">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2"/>
  </w:num>
  <w:num w:numId="5">
    <w:abstractNumId w:val="0"/>
  </w:num>
  <w:num w:numId="6">
    <w:abstractNumId w:val="4"/>
  </w:num>
  <w:num w:numId="7">
    <w:abstractNumId w:val="6"/>
  </w:num>
  <w:num w:numId="8">
    <w:abstractNumId w:val="7"/>
  </w:num>
  <w:num w:numId="9">
    <w:abstractNumId w:val="9"/>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F4755"/>
    <w:rsid w:val="00300D1A"/>
    <w:rsid w:val="003245F5"/>
    <w:rsid w:val="0033044A"/>
    <w:rsid w:val="0037565C"/>
    <w:rsid w:val="003E40E9"/>
    <w:rsid w:val="004010F2"/>
    <w:rsid w:val="00447486"/>
    <w:rsid w:val="0046193E"/>
    <w:rsid w:val="00490096"/>
    <w:rsid w:val="00493B9F"/>
    <w:rsid w:val="004B2FE9"/>
    <w:rsid w:val="004D1F02"/>
    <w:rsid w:val="004F18B2"/>
    <w:rsid w:val="004F76CF"/>
    <w:rsid w:val="005616A9"/>
    <w:rsid w:val="005D5020"/>
    <w:rsid w:val="005E4788"/>
    <w:rsid w:val="005F1EA4"/>
    <w:rsid w:val="006661B7"/>
    <w:rsid w:val="006D5CE4"/>
    <w:rsid w:val="007C6EA6"/>
    <w:rsid w:val="008941A8"/>
    <w:rsid w:val="008F6B05"/>
    <w:rsid w:val="00914441"/>
    <w:rsid w:val="00915378"/>
    <w:rsid w:val="00923746"/>
    <w:rsid w:val="009D4CEE"/>
    <w:rsid w:val="00A141AB"/>
    <w:rsid w:val="00A32EBC"/>
    <w:rsid w:val="00A603CF"/>
    <w:rsid w:val="00A8442E"/>
    <w:rsid w:val="00B249BB"/>
    <w:rsid w:val="00BC6D78"/>
    <w:rsid w:val="00C5074B"/>
    <w:rsid w:val="00C73435"/>
    <w:rsid w:val="00C80220"/>
    <w:rsid w:val="00C94BB4"/>
    <w:rsid w:val="00CD0B63"/>
    <w:rsid w:val="00CD74CC"/>
    <w:rsid w:val="00CE04FF"/>
    <w:rsid w:val="00CF3862"/>
    <w:rsid w:val="00D120AC"/>
    <w:rsid w:val="00D41879"/>
    <w:rsid w:val="00D46E39"/>
    <w:rsid w:val="00D57A7E"/>
    <w:rsid w:val="00DA10E3"/>
    <w:rsid w:val="00DA5B25"/>
    <w:rsid w:val="00DD7770"/>
    <w:rsid w:val="00E06F1C"/>
    <w:rsid w:val="00E923BD"/>
    <w:rsid w:val="00EA7498"/>
    <w:rsid w:val="00ED4B74"/>
    <w:rsid w:val="00ED5B2F"/>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4D1F02"/>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5631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598</Words>
  <Characters>4038</Characters>
  <Application>Microsoft Office Word</Application>
  <DocSecurity>0</DocSecurity>
  <Lines>144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HP</cp:lastModifiedBy>
  <cp:revision>39</cp:revision>
  <cp:lastPrinted>2019-10-03T13:22:00Z</cp:lastPrinted>
  <dcterms:created xsi:type="dcterms:W3CDTF">2019-10-31T05:35:00Z</dcterms:created>
  <dcterms:modified xsi:type="dcterms:W3CDTF">2024-08-13T09:57:00Z</dcterms:modified>
</cp:coreProperties>
</file>