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AB2E9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AB2E91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114DF9" w:rsidRPr="00AB2E91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129</w:t>
      </w:r>
      <w:r w:rsidRPr="00AB2E91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AB2E9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B2E91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AB2E9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B2E91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AB2E9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B2E91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AB2E9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AB2E91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AB2E9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B2E91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AB2E9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AB2E9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AB2E91" w:rsidRDefault="0015008A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AB2E9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AB2E91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AB2E9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AB2E91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AB2E9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AB2E91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AB2E91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AB2E91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AB2E9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AB2E91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AB2E91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AB2E91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AB2E91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AB2E9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AB2E91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AB2E91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B2E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AB2E91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B5A37" w:rsidRPr="00141142" w:rsidRDefault="00C61C6B" w:rsidP="001B5A37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B2E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AB2E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1B5A37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1B5A3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1B5A37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AB2E91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AB2E91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AB2E91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B2E9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B2E9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AB2E9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AB2E9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AB2E9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AB2E9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AB2E9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E7F1E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A37" w:rsidRPr="00FF735D" w:rsidRDefault="001B5A37" w:rsidP="001B5A37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1B5A37" w:rsidRPr="00FF735D" w:rsidRDefault="001B5A37" w:rsidP="001B5A37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1B5A37" w:rsidRPr="00F10908" w:rsidRDefault="001B5A37" w:rsidP="001B5A37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A51835" w:rsidRDefault="001B5A37" w:rsidP="001B5A37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1B5A37" w:rsidRPr="001E7F1E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A37" w:rsidRPr="00FF735D" w:rsidRDefault="001B5A37" w:rsidP="001B5A37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1B5A37" w:rsidRPr="00FF735D" w:rsidRDefault="001B5A37" w:rsidP="001B5A37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B5A37" w:rsidRPr="00FF735D" w:rsidRDefault="001B5A37" w:rsidP="001B5A37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1B5A37" w:rsidRPr="00FF735D" w:rsidRDefault="001B5A37" w:rsidP="001B5A37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B5A37" w:rsidRPr="00FF735D" w:rsidRDefault="001B5A37" w:rsidP="001B5A37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1B5A37" w:rsidRPr="00FF735D" w:rsidRDefault="001B5A37" w:rsidP="001B5A37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B5A37" w:rsidRPr="00FF735D" w:rsidRDefault="001B5A37" w:rsidP="001B5A37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B5A37" w:rsidRPr="00833A63" w:rsidRDefault="001B5A37" w:rsidP="001B5A37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B5A37" w:rsidRPr="00833A63" w:rsidRDefault="001B5A37" w:rsidP="001B5A37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B5A37" w:rsidRPr="00833A63" w:rsidRDefault="001B5A37" w:rsidP="001B5A37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B5A37" w:rsidRPr="00833A63" w:rsidRDefault="001B5A37" w:rsidP="001B5A37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1B5A37" w:rsidRPr="00833A63" w:rsidRDefault="001B5A37" w:rsidP="001B5A37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B5A37" w:rsidRDefault="001B5A37" w:rsidP="001B5A37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2407D3" w:rsidRPr="000A2E7F" w:rsidRDefault="002407D3" w:rsidP="001B5A37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1B5A37" w:rsidRPr="00FF735D" w:rsidRDefault="001B5A37" w:rsidP="001B5A37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B5A37" w:rsidRDefault="001B5A37" w:rsidP="001B5A37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1B5A37" w:rsidRPr="00FF735D" w:rsidRDefault="001B5A37" w:rsidP="001B5A37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1B5A37" w:rsidRPr="00FB7E62" w:rsidRDefault="001B5A37" w:rsidP="001B5A3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B5A37" w:rsidRPr="00FF735D" w:rsidRDefault="001B5A37" w:rsidP="001B5A3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B5A37" w:rsidRPr="00FF735D" w:rsidRDefault="00216B9A" w:rsidP="001B5A3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1B5A37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E378E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E378EA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B5A37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1B5A37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1B5A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1B5A37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1B5A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1B5A37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1B5A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1B5A37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1B5A37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B5A37" w:rsidRPr="00FF735D" w:rsidRDefault="001B5A37" w:rsidP="001B5A3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B5A37" w:rsidRPr="007365CE" w:rsidRDefault="001B5A37" w:rsidP="001B5A3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B5A37" w:rsidRPr="00141142" w:rsidRDefault="001B5A37" w:rsidP="001B5A37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1B5A37" w:rsidRDefault="001B5A37" w:rsidP="001B5A37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1B5A37" w:rsidRPr="00FF735D" w:rsidRDefault="001B5A37" w:rsidP="001B5A37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տվյալները, համակարգել, մշակել և դասակարգել դրանք. 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16B9A" w:rsidRPr="006C1E35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B5A37" w:rsidRPr="002407D3" w:rsidRDefault="00216B9A" w:rsidP="00216B9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407D3" w:rsidRPr="00141142" w:rsidRDefault="002407D3" w:rsidP="00216B9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AB2E9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B2E9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B2E9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AB2E9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AB2E9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B2E9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AB2E9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B2E9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AB2E91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AB2E9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AB2E9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AB2E9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AB2E9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AB2E9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B2E91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AB2E91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1E7F1E" w:rsidRPr="001E7F1E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E7F1E" w:rsidRDefault="001E7F1E" w:rsidP="001E7F1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1E7F1E" w:rsidRDefault="001E7F1E" w:rsidP="001E7F1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</w:p>
          <w:p w:rsidR="001E7F1E" w:rsidRDefault="001E7F1E" w:rsidP="001E7F1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1E7F1E" w:rsidRPr="001E7F1E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1E7F1E" w:rsidRDefault="001E7F1E" w:rsidP="001E7F1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1E7F1E" w:rsidRPr="001E7F1E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1E7F1E" w:rsidRPr="001E7F1E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1E7F1E" w:rsidRPr="001E7F1E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1E7F1E" w:rsidRDefault="001E7F1E" w:rsidP="001E7F1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1E7F1E" w:rsidRPr="001E7F1E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1E7F1E" w:rsidRPr="001E7F1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1E7F1E" w:rsidRPr="001E7F1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F1E" w:rsidRDefault="001E7F1E" w:rsidP="001E7F1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1E7F1E" w:rsidRDefault="001E7F1E" w:rsidP="001E7F1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1E7F1E" w:rsidRPr="001E7F1E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E7F1E" w:rsidRDefault="001E7F1E" w:rsidP="001E7F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1E7F1E" w:rsidRDefault="001E7F1E" w:rsidP="001E7F1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1E7F1E" w:rsidRPr="001E7F1E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F1E" w:rsidRDefault="001E7F1E" w:rsidP="001E7F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E7F1E" w:rsidRDefault="001E7F1E" w:rsidP="001E7F1E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1E7F1E" w:rsidRDefault="001E7F1E" w:rsidP="001E7F1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F10908" w:rsidRPr="00AB2E91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AB2E91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AB2E9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AB2E9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AB2E9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B2E9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AB2E91">
              <w:rPr>
                <w:rFonts w:ascii="GHEA Grapalat" w:hAnsi="GHEA Grapalat"/>
                <w:lang w:val="hy-AM"/>
              </w:rPr>
              <w:br/>
            </w:r>
            <w:r w:rsidRPr="00AB2E91">
              <w:rPr>
                <w:rFonts w:ascii="GHEA Grapalat" w:hAnsi="GHEA Grapalat" w:cs="Sylfaen"/>
                <w:lang w:val="hy-AM"/>
              </w:rPr>
              <w:t>Ունի</w:t>
            </w:r>
            <w:r w:rsidRPr="00AB2E91">
              <w:rPr>
                <w:rFonts w:ascii="GHEA Grapalat" w:hAnsi="GHEA Grapalat"/>
                <w:lang w:val="hy-AM"/>
              </w:rPr>
              <w:t xml:space="preserve"> </w:t>
            </w:r>
            <w:r w:rsidRPr="00AB2E91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AB2E91">
              <w:rPr>
                <w:rFonts w:ascii="GHEA Grapalat" w:hAnsi="GHEA Grapalat"/>
                <w:lang w:val="hy-AM"/>
              </w:rPr>
              <w:t xml:space="preserve"> </w:t>
            </w:r>
            <w:r w:rsidRPr="00AB2E91">
              <w:rPr>
                <w:rFonts w:ascii="GHEA Grapalat" w:hAnsi="GHEA Grapalat" w:cs="Sylfaen"/>
                <w:lang w:val="hy-AM"/>
              </w:rPr>
              <w:t>իրականացման</w:t>
            </w:r>
            <w:r w:rsidRPr="00AB2E91">
              <w:rPr>
                <w:rFonts w:ascii="GHEA Grapalat" w:hAnsi="GHEA Grapalat"/>
                <w:lang w:val="hy-AM"/>
              </w:rPr>
              <w:t xml:space="preserve"> </w:t>
            </w:r>
            <w:r w:rsidRPr="00AB2E91">
              <w:rPr>
                <w:rFonts w:ascii="GHEA Grapalat" w:hAnsi="GHEA Grapalat" w:cs="Sylfaen"/>
                <w:lang w:val="hy-AM"/>
              </w:rPr>
              <w:t>համար</w:t>
            </w:r>
            <w:r w:rsidRPr="00AB2E91">
              <w:rPr>
                <w:rFonts w:ascii="GHEA Grapalat" w:hAnsi="GHEA Grapalat"/>
                <w:lang w:val="hy-AM"/>
              </w:rPr>
              <w:t xml:space="preserve"> </w:t>
            </w:r>
            <w:r w:rsidRPr="00AB2E91">
              <w:rPr>
                <w:rFonts w:ascii="GHEA Grapalat" w:hAnsi="GHEA Grapalat" w:cs="Sylfaen"/>
                <w:lang w:val="hy-AM"/>
              </w:rPr>
              <w:t>անհրաժեշտ</w:t>
            </w:r>
            <w:r w:rsidRPr="00AB2E91">
              <w:rPr>
                <w:rFonts w:ascii="GHEA Grapalat" w:hAnsi="GHEA Grapalat"/>
                <w:lang w:val="hy-AM"/>
              </w:rPr>
              <w:t xml:space="preserve"> </w:t>
            </w:r>
            <w:r w:rsidRPr="00AB2E91">
              <w:rPr>
                <w:rFonts w:ascii="GHEA Grapalat" w:hAnsi="GHEA Grapalat" w:cs="Sylfaen"/>
                <w:lang w:val="hy-AM"/>
              </w:rPr>
              <w:t>գիտելիքներ</w:t>
            </w:r>
            <w:r w:rsidRPr="00AB2E91">
              <w:rPr>
                <w:rFonts w:ascii="GHEA Grapalat" w:hAnsi="GHEA Grapalat"/>
                <w:lang w:val="hy-AM"/>
              </w:rPr>
              <w:br/>
            </w:r>
            <w:r w:rsidRPr="00AB2E91">
              <w:rPr>
                <w:rFonts w:ascii="GHEA Grapalat" w:hAnsi="GHEA Grapalat"/>
                <w:b/>
                <w:lang w:val="hy-AM"/>
              </w:rPr>
              <w:t>3.3.</w:t>
            </w:r>
            <w:r w:rsidRPr="00AB2E9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B2E9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AB2E9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B2E9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AB2E9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AB2E9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AB2E9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B2E9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AB2E9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B2E9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AB2E91">
              <w:rPr>
                <w:rFonts w:ascii="GHEA Grapalat" w:hAnsi="GHEA Grapalat"/>
                <w:lang w:val="hy-AM"/>
              </w:rPr>
              <w:br/>
            </w:r>
            <w:r w:rsidR="00775518" w:rsidRPr="00AB2E91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AB2E91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AB2E91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AB2E9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AB2E9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AB2E91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AB2E91" w:rsidRPr="00AB2E91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AB2E91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AB2E9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AB2E9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AB2E91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AB2E91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AB2E91">
              <w:rPr>
                <w:rFonts w:ascii="GHEA Grapalat" w:hAnsi="GHEA Grapalat" w:cs="Sylfaen"/>
                <w:lang w:val="hy-AM"/>
              </w:rPr>
              <w:t xml:space="preserve"> </w:t>
            </w:r>
            <w:r w:rsidRPr="00AB2E91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AB2E91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AB2E9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AB2E9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B2E9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AB2E91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AB2E91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AB2E91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B2E91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AB2E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AB2E9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AB2E91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B2E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B2E9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AB2E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B2E9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AB2E91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B2E9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AB2E91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B2E9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AB2E91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AB2E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B2E9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AB2E9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AB2E91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AB2E9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AB2E9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B2E91">
              <w:rPr>
                <w:rFonts w:ascii="GHEA Grapalat" w:hAnsi="GHEA Grapalat"/>
                <w:sz w:val="24"/>
              </w:rPr>
              <w:lastRenderedPageBreak/>
              <w:t>Բանակցությունների վարում</w:t>
            </w:r>
          </w:p>
          <w:p w:rsidR="00531B09" w:rsidRPr="00AB2E9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B2E91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AB2E9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B2E91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AB2E9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B2E91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AB2E91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B2E91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E7F1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B2E9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B2E9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AB2E9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AB2E9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AB2E9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AB2E9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B2E91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B2E9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AB2E91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B2E9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AB2E9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B2E9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B2E9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AB2E91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B2E91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AB2E9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AB2E9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AB2E9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AB2E91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B2E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AB2E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AB2E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AB2E91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AB2E91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AB2E91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2E9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AB2E91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B2E91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AB2E91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AB2E9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AB2E91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65F7C"/>
    <w:rsid w:val="00084C9F"/>
    <w:rsid w:val="00087BFA"/>
    <w:rsid w:val="000A1C83"/>
    <w:rsid w:val="000B345B"/>
    <w:rsid w:val="000C0F9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4DF9"/>
    <w:rsid w:val="00116E7E"/>
    <w:rsid w:val="00122F8F"/>
    <w:rsid w:val="0013105C"/>
    <w:rsid w:val="001350F6"/>
    <w:rsid w:val="00141950"/>
    <w:rsid w:val="00143524"/>
    <w:rsid w:val="0015008A"/>
    <w:rsid w:val="001615EE"/>
    <w:rsid w:val="00171FC1"/>
    <w:rsid w:val="001859CD"/>
    <w:rsid w:val="001B2D5F"/>
    <w:rsid w:val="001B5A37"/>
    <w:rsid w:val="001B5EAC"/>
    <w:rsid w:val="001D3FF1"/>
    <w:rsid w:val="001E6ABE"/>
    <w:rsid w:val="001E7F1E"/>
    <w:rsid w:val="001F2092"/>
    <w:rsid w:val="001F5027"/>
    <w:rsid w:val="00204F30"/>
    <w:rsid w:val="00206986"/>
    <w:rsid w:val="00210CDB"/>
    <w:rsid w:val="00216B9A"/>
    <w:rsid w:val="00217AD5"/>
    <w:rsid w:val="00221FF6"/>
    <w:rsid w:val="00231329"/>
    <w:rsid w:val="002407D3"/>
    <w:rsid w:val="00251AF0"/>
    <w:rsid w:val="00275858"/>
    <w:rsid w:val="00281B69"/>
    <w:rsid w:val="00284804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629AA"/>
    <w:rsid w:val="00363AC8"/>
    <w:rsid w:val="00386B5D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D0E1D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A14F0"/>
    <w:rsid w:val="007B3877"/>
    <w:rsid w:val="007C5CD9"/>
    <w:rsid w:val="007D4E31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3F75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4B97"/>
    <w:rsid w:val="009A6B78"/>
    <w:rsid w:val="009B29AA"/>
    <w:rsid w:val="009C14E8"/>
    <w:rsid w:val="009D0775"/>
    <w:rsid w:val="009E1281"/>
    <w:rsid w:val="009E43CF"/>
    <w:rsid w:val="009E72D8"/>
    <w:rsid w:val="00A07DD8"/>
    <w:rsid w:val="00A11532"/>
    <w:rsid w:val="00A17474"/>
    <w:rsid w:val="00A30269"/>
    <w:rsid w:val="00A46681"/>
    <w:rsid w:val="00A47B7E"/>
    <w:rsid w:val="00A51835"/>
    <w:rsid w:val="00AA3179"/>
    <w:rsid w:val="00AA4C3B"/>
    <w:rsid w:val="00AB2E91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2725"/>
    <w:rsid w:val="00D2595E"/>
    <w:rsid w:val="00D37294"/>
    <w:rsid w:val="00D3742F"/>
    <w:rsid w:val="00D4390F"/>
    <w:rsid w:val="00D45F52"/>
    <w:rsid w:val="00D51B72"/>
    <w:rsid w:val="00D55113"/>
    <w:rsid w:val="00D72D02"/>
    <w:rsid w:val="00D95145"/>
    <w:rsid w:val="00DB2DD3"/>
    <w:rsid w:val="00DC00AB"/>
    <w:rsid w:val="00DC1BCC"/>
    <w:rsid w:val="00DC29D8"/>
    <w:rsid w:val="00DC361C"/>
    <w:rsid w:val="00DC5D33"/>
    <w:rsid w:val="00DE5D26"/>
    <w:rsid w:val="00DE638E"/>
    <w:rsid w:val="00E02A60"/>
    <w:rsid w:val="00E2272E"/>
    <w:rsid w:val="00E23E3E"/>
    <w:rsid w:val="00E26819"/>
    <w:rsid w:val="00E33F76"/>
    <w:rsid w:val="00E378EA"/>
    <w:rsid w:val="00E46A55"/>
    <w:rsid w:val="00E5343C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52B"/>
    <w:rsid w:val="00F84BE0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DCE3"/>
  <w15:docId w15:val="{808A7139-597B-4851-8C82-C0CDAA1A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FE9E-F430-4E61-A17E-CABD17B4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1824</Words>
  <Characters>10398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33</cp:revision>
  <cp:lastPrinted>2020-03-11T09:03:00Z</cp:lastPrinted>
  <dcterms:created xsi:type="dcterms:W3CDTF">2020-01-22T09:43:00Z</dcterms:created>
  <dcterms:modified xsi:type="dcterms:W3CDTF">2025-08-22T06:59:00Z</dcterms:modified>
</cp:coreProperties>
</file>