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1" w:rsidRPr="00431D61" w:rsidRDefault="006C2ECD" w:rsidP="00F2796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 9</w:t>
      </w:r>
    </w:p>
    <w:p w:rsidR="00AE0F91" w:rsidRPr="00431D61" w:rsidRDefault="00AE0F91" w:rsidP="00F2796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31D6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31D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31D61">
        <w:rPr>
          <w:rFonts w:ascii="GHEA Grapalat" w:eastAsia="Times New Roman" w:hAnsi="GHEA Grapalat" w:cs="Sylfaen"/>
          <w:sz w:val="16"/>
          <w:szCs w:val="16"/>
        </w:rPr>
        <w:t>է</w:t>
      </w:r>
    </w:p>
    <w:p w:rsidR="00AE0F91" w:rsidRPr="00431D61" w:rsidRDefault="00AE0F91" w:rsidP="00F2796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31D6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31D6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31D6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AE0F91" w:rsidRPr="00431D61" w:rsidRDefault="00AE0F91" w:rsidP="00F2796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31D6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31D6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31D6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881188" w:rsidRDefault="00881188" w:rsidP="00881188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81188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E3122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AE0F91" w:rsidRPr="00881188" w:rsidRDefault="00AE0F91" w:rsidP="00F2796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81188" w:rsidRDefault="00113C7C" w:rsidP="00F2796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811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AE0F91" w:rsidRPr="00881188" w:rsidRDefault="00AE0F91" w:rsidP="00F2796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881188" w:rsidRDefault="00C61C6B" w:rsidP="00F2796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811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504A25" w:rsidRPr="00431D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8C7304" w:rsidRPr="008811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 ՊԵՏ</w:t>
      </w:r>
    </w:p>
    <w:p w:rsidR="00113C7C" w:rsidRPr="00881188" w:rsidRDefault="00113C7C" w:rsidP="00F2796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81188" w:rsidRDefault="00113C7C" w:rsidP="00F2796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</w:tblGrid>
      <w:tr w:rsidR="003C5E15" w:rsidRPr="00431D61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31D61" w:rsidRDefault="003C5E15" w:rsidP="00F279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31D6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31D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31D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978D2" w:rsidTr="00ED6921">
        <w:trPr>
          <w:trHeight w:val="5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431D61" w:rsidRDefault="003C5E15" w:rsidP="00F2796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431D6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504A25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վար</w:t>
            </w:r>
            <w:r w:rsidR="008C7304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504A25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</w:t>
            </w:r>
            <w:r w:rsidR="00113C7C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431D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431D61">
              <w:rPr>
                <w:rFonts w:ascii="GHEA Grapalat" w:hAnsi="GHEA Grapalat"/>
                <w:sz w:val="24"/>
                <w:szCs w:val="24"/>
              </w:rPr>
              <w:t>70-</w:t>
            </w:r>
            <w:r w:rsidR="00504A25" w:rsidRPr="00431D61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431D61">
              <w:rPr>
                <w:rFonts w:ascii="GHEA Grapalat" w:hAnsi="GHEA Grapalat"/>
                <w:sz w:val="24"/>
                <w:szCs w:val="24"/>
              </w:rPr>
              <w:t>.</w:t>
            </w:r>
            <w:r w:rsidR="00504A25" w:rsidRPr="00431D6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61C6B" w:rsidRPr="00431D61">
              <w:rPr>
                <w:rFonts w:ascii="GHEA Grapalat" w:hAnsi="GHEA Grapalat"/>
                <w:sz w:val="24"/>
                <w:szCs w:val="24"/>
              </w:rPr>
              <w:t>-Ղ</w:t>
            </w:r>
            <w:r w:rsidR="00CE5E61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431D61">
              <w:rPr>
                <w:rFonts w:ascii="GHEA Grapalat" w:hAnsi="GHEA Grapalat"/>
                <w:sz w:val="24"/>
                <w:szCs w:val="24"/>
              </w:rPr>
              <w:t>-1)</w:t>
            </w:r>
            <w:r w:rsidRPr="00431D6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431D61" w:rsidRDefault="00504A25" w:rsidP="00F2796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</w:t>
            </w:r>
            <w:r w:rsidR="00ED6921" w:rsidRPr="00431D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չության պետն անմիջական </w:t>
            </w:r>
            <w:r w:rsidR="00334754" w:rsidRPr="00431D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431D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Տեսչական մարմնի ղեկավարին. </w:t>
            </w:r>
            <w:r w:rsidR="003C5E15" w:rsidRPr="00431D6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431D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431D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431D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չության պետին  </w:t>
            </w:r>
            <w:r w:rsidR="00ED6921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906FC4" w:rsidRPr="00431D61">
              <w:rPr>
                <w:rFonts w:ascii="GHEA Grapalat" w:hAnsi="GHEA Grapalat"/>
                <w:sz w:val="24"/>
                <w:lang w:val="hy-AM"/>
              </w:rPr>
              <w:t>Վար</w:t>
            </w:r>
            <w:r w:rsidR="008C7304" w:rsidRPr="00431D61">
              <w:rPr>
                <w:rFonts w:ascii="GHEA Grapalat" w:hAnsi="GHEA Grapalat"/>
                <w:sz w:val="24"/>
                <w:lang w:val="hy-AM"/>
              </w:rPr>
              <w:t xml:space="preserve">չության </w:t>
            </w:r>
            <w:r w:rsidR="009A6B78" w:rsidRPr="00431D61">
              <w:rPr>
                <w:rFonts w:ascii="GHEA Grapalat" w:hAnsi="GHEA Grapalat"/>
                <w:sz w:val="24"/>
                <w:lang w:val="hy-AM"/>
              </w:rPr>
              <w:t>աշխատողները</w:t>
            </w:r>
            <w:r w:rsidR="009A6B78" w:rsidRPr="00431D61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431D61" w:rsidRDefault="003C5E15" w:rsidP="00F2796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504A25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չության պետի  </w:t>
            </w:r>
            <w:r w:rsidR="00AA4C3B" w:rsidRPr="00431D61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504A25" w:rsidRPr="00431D61">
              <w:rPr>
                <w:rFonts w:ascii="GHEA Grapalat" w:hAnsi="GHEA Grapalat"/>
                <w:sz w:val="24"/>
                <w:lang w:val="hy-AM"/>
              </w:rPr>
              <w:t>Վար</w:t>
            </w:r>
            <w:r w:rsidR="00ED6921" w:rsidRPr="00431D61">
              <w:rPr>
                <w:rFonts w:ascii="GHEA Grapalat" w:hAnsi="GHEA Grapalat"/>
                <w:sz w:val="24"/>
                <w:lang w:val="hy-AM"/>
              </w:rPr>
              <w:t xml:space="preserve">չության պետի </w:t>
            </w:r>
            <w:r w:rsidR="007745EC" w:rsidRPr="00431D61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1600C7" w:rsidRPr="00431D61">
              <w:rPr>
                <w:rFonts w:ascii="GHEA Grapalat" w:hAnsi="GHEA Grapalat"/>
                <w:sz w:val="24"/>
                <w:lang w:val="hy-AM"/>
              </w:rPr>
              <w:t>ը</w:t>
            </w:r>
            <w:r w:rsidR="00ED6921" w:rsidRPr="00431D61">
              <w:rPr>
                <w:rFonts w:ascii="GHEA Grapalat" w:hAnsi="GHEA Grapalat"/>
                <w:sz w:val="24"/>
                <w:lang w:val="hy-AM"/>
              </w:rPr>
              <w:t xml:space="preserve"> կամ </w:t>
            </w:r>
            <w:r w:rsidR="00504A25" w:rsidRPr="00431D61">
              <w:rPr>
                <w:rFonts w:ascii="GHEA Grapalat" w:hAnsi="GHEA Grapalat"/>
                <w:sz w:val="24"/>
                <w:lang w:val="hy-AM"/>
              </w:rPr>
              <w:t>Վար</w:t>
            </w:r>
            <w:r w:rsidR="008C7304" w:rsidRPr="00431D61">
              <w:rPr>
                <w:rFonts w:ascii="GHEA Grapalat" w:hAnsi="GHEA Grapalat"/>
                <w:sz w:val="24"/>
                <w:lang w:val="hy-AM"/>
              </w:rPr>
              <w:t xml:space="preserve">չության </w:t>
            </w:r>
            <w:r w:rsidR="00EB1C2C" w:rsidRPr="00431D61">
              <w:rPr>
                <w:rFonts w:ascii="GHEA Grapalat" w:hAnsi="GHEA Grapalat"/>
                <w:sz w:val="24"/>
                <w:lang w:val="hy-AM"/>
              </w:rPr>
              <w:t>գ</w:t>
            </w:r>
            <w:r w:rsidR="009A6B78" w:rsidRPr="00431D61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98417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431D61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431D61" w:rsidRDefault="003C5E15" w:rsidP="00F27969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431D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D1147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1D4AD3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431D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431D6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431D6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978D2" w:rsidTr="008627C8">
        <w:trPr>
          <w:trHeight w:val="8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31D61" w:rsidRDefault="003C5E15" w:rsidP="00F2796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31D61" w:rsidRDefault="007C5CD9" w:rsidP="00F2796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31D61" w:rsidRDefault="007C5CD9" w:rsidP="00F279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431D61" w:rsidRDefault="0000101D" w:rsidP="00F279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34CC1" w:rsidRPr="00431D61" w:rsidRDefault="00504A25" w:rsidP="00F27969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431D6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ա</w:t>
            </w:r>
            <w:r w:rsidR="006A3E25" w:rsidRPr="00431D6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պահովում է 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հաշվառման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6A3E25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իրականացումը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6A3E25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դրանց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իրականացմանը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</w:t>
            </w:r>
            <w:r w:rsidR="006A3E25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չության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մասնակցություն</w:t>
            </w:r>
            <w:r w:rsidR="006A3E25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ը</w:t>
            </w:r>
            <w:r w:rsidR="00034CC1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034CC1" w:rsidRPr="00431D6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կազմակերպման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իրականացման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գործընթացների</w:t>
            </w:r>
            <w:r w:rsidR="008802B3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արդյունքների</w:t>
            </w:r>
            <w:r w:rsidR="008802B3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05764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ամփոփման</w:t>
            </w:r>
            <w:r w:rsidR="005D3382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վերլուծության</w:t>
            </w:r>
            <w:r w:rsidR="00E05764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աշխատանքների</w:t>
            </w:r>
            <w:r w:rsidR="00034CC1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E05764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034CC1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վերահսկողություն է իրականացնում</w:t>
            </w:r>
            <w:r w:rsidR="00034CC1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431D61" w:rsidRDefault="005D3382" w:rsidP="00F27969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վերահսկողություն է իրականացնում </w:t>
            </w:r>
            <w:r w:rsidR="00504A25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նասնաբուժական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7C37E9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նկատմամբ, ինչպես նաև ապահովում է այդ գործընթացների իրականացմանը </w:t>
            </w:r>
            <w:r w:rsidR="00504A25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</w:t>
            </w:r>
            <w:r w:rsidR="007C37E9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չության մասնակցությունը</w:t>
            </w:r>
            <w:r w:rsidR="007C37E9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. </w:t>
            </w:r>
          </w:p>
          <w:p w:rsidR="008802B3" w:rsidRPr="00431D61" w:rsidRDefault="00504A25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8E5AD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միջոցառումների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E5ADA"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իրականացումը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E5ADA"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դրանց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իրականացմանը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Վար</w:t>
            </w:r>
            <w:r w:rsidR="008E5ADA"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չության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մասնակցություն</w:t>
            </w:r>
            <w:r w:rsidR="008E5ADA" w:rsidRPr="00431D61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="008E5ADA"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ինչպես նաև ապահովում է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համագործակցո</w:t>
            </w:r>
            <w:r w:rsidR="008E5ADA" w:rsidRPr="00431D61">
              <w:rPr>
                <w:rFonts w:ascii="GHEA Grapalat" w:hAnsi="GHEA Grapalat"/>
                <w:sz w:val="24"/>
                <w:szCs w:val="24"/>
                <w:lang w:val="hy-AM"/>
              </w:rPr>
              <w:t>ւթյունը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8802B3" w:rsidRPr="00431D61" w:rsidRDefault="001600C7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ru-RU"/>
              </w:rPr>
              <w:t>համակարգում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E5AD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5D3382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տեսչական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2270F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</w:t>
            </w:r>
            <w:r w:rsidR="002270FE">
              <w:rPr>
                <w:rFonts w:ascii="GHEA Grapalat" w:hAnsi="GHEA Grapalat" w:cs="Sylfaen"/>
                <w:sz w:val="24"/>
                <w:szCs w:val="24"/>
              </w:rPr>
              <w:t>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2270F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</w:t>
            </w:r>
            <w:r w:rsidR="002270FE">
              <w:rPr>
                <w:rFonts w:ascii="GHEA Grapalat" w:hAnsi="GHEA Grapalat" w:cs="Sylfaen"/>
                <w:sz w:val="24"/>
                <w:szCs w:val="24"/>
              </w:rPr>
              <w:t>ման</w:t>
            </w:r>
            <w:r w:rsidR="002270FE" w:rsidRPr="002270F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2270FE"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8802B3" w:rsidRPr="00431D61" w:rsidRDefault="00504A25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8E5AD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տրամադրում</w:t>
            </w:r>
            <w:r w:rsidR="008E5AD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 աշխատանքների իրականացում</w:t>
            </w:r>
            <w:r w:rsidR="008E5AD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>, տեղեկատվության տրամադրում</w:t>
            </w:r>
            <w:r w:rsidR="008E5AD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օտարերկրյա պետությունների անասնահամաճարակային իրավիճակի </w:t>
            </w:r>
            <w:r w:rsidR="008E5ADA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>վերլուծությ</w:t>
            </w:r>
            <w:r w:rsidR="008E5AD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աշխատանքների իրականացումը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8802B3" w:rsidRPr="00431D61" w:rsidRDefault="00504A25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իրականացմանը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Վար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չության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մասնակցություն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8802B3" w:rsidRPr="00431D61" w:rsidRDefault="00504A25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674BF"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պահովում է Տեսչական մարմնի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անասնաբուժության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674BF" w:rsidRPr="00431D61">
              <w:rPr>
                <w:rFonts w:ascii="GHEA Grapalat" w:hAnsi="GHEA Grapalat"/>
                <w:sz w:val="24"/>
                <w:szCs w:val="24"/>
                <w:lang w:val="hy-AM"/>
              </w:rPr>
              <w:t>գործո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ւնեություն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52998" w:rsidRPr="00431D61">
              <w:rPr>
                <w:rFonts w:ascii="GHEA Grapalat" w:hAnsi="GHEA Grapalat"/>
                <w:sz w:val="24"/>
                <w:szCs w:val="24"/>
                <w:lang w:val="hy-AM"/>
              </w:rPr>
              <w:t>ստացման</w:t>
            </w:r>
            <w:r w:rsidR="00E52998" w:rsidRPr="00431D61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, </w:t>
            </w:r>
            <w:r w:rsidR="00E52998" w:rsidRPr="00431D61">
              <w:rPr>
                <w:rFonts w:ascii="GHEA Grapalat" w:hAnsi="GHEA Grapalat"/>
                <w:sz w:val="24"/>
                <w:szCs w:val="24"/>
                <w:lang w:val="hy-AM"/>
              </w:rPr>
              <w:t>դրանց վերլուծության և ամփոփման աշխատանքները</w:t>
            </w:r>
            <w:r w:rsidR="00E52998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8802B3" w:rsidRPr="00431D61" w:rsidRDefault="008802B3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</w:rPr>
              <w:t>ուղեկցող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</w:rPr>
              <w:t>անասնաբուժական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r w:rsidRPr="00431D61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իրականացնում է վերահսկողություն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ապահովում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վերլուծության իրականացումը</w:t>
            </w:r>
            <w:r w:rsidR="00B674BF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8802B3" w:rsidRPr="00431D61" w:rsidRDefault="00504A25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</w:t>
            </w:r>
            <w:r w:rsidR="00FC1462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խորհրդատվության տրամադրումը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իրականացնում է վերահսկողությու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ապահովում դրանց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իրականացմանը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Վար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չության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մասնակցություն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B368E" w:rsidRPr="00431D61" w:rsidRDefault="00504A25" w:rsidP="00EB368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դրանց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իրականացմանը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Վար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չության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մասնակցություն</w:t>
            </w:r>
            <w:r w:rsidR="00B674BF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8802B3" w:rsidRPr="00431D61" w:rsidRDefault="00504A25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</w:t>
            </w:r>
            <w:r w:rsidR="00CE633A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 xml:space="preserve">պահովում է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="009308FC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 xml:space="preserve"> </w:t>
            </w:r>
            <w:r w:rsidR="00EB368E" w:rsidRPr="00431D61">
              <w:rPr>
                <w:rFonts w:ascii="GHEA Grapalat" w:hAnsi="GHEA Grapalat" w:cs="Arial Unicode"/>
                <w:color w:val="000000"/>
                <w:sz w:val="24"/>
                <w:szCs w:val="24"/>
              </w:rPr>
              <w:t>մի</w:t>
            </w:r>
            <w:r w:rsidR="00EB368E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Վար</w:t>
            </w:r>
            <w:r w:rsidR="00CE633A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 xml:space="preserve">չության 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CE633A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8802B3" w:rsidRPr="00431D61" w:rsidRDefault="00504A25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CE633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մուտքագրում</w:t>
            </w:r>
            <w:r w:rsidR="00CE633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>,</w:t>
            </w:r>
            <w:r w:rsidR="00CE633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ամփոփում</w:t>
            </w:r>
            <w:r w:rsidR="00CE633A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աշխատանքների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իրականացումը</w:t>
            </w:r>
            <w:r w:rsidR="00CE633A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="008802B3" w:rsidRPr="00431D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FC1462" w:rsidRPr="00431D61" w:rsidRDefault="00504A25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</w:t>
            </w:r>
            <w:r w:rsidR="00CE633A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պահովում է Տեսչական մարմնի 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կողմից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</w:t>
            </w:r>
            <w:r w:rsidR="00CE633A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չության 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CE633A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="008802B3"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EB368E" w:rsidRPr="00431D61" w:rsidRDefault="00EB368E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ապահովում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է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ուսումնասիրություն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ը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, դրա հիման վրա համապատասխան առաջարկությունների ներկայացում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ը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>ղեկավա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րի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ընդունելություն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ը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EB368E" w:rsidRPr="00431D61" w:rsidRDefault="00DE493A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ապահովում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է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B368E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="00EB368E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յ</w:t>
            </w:r>
            <w:r w:rsidR="00EB368E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նախապատրասում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ը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A47A44" w:rsidRPr="00431D61" w:rsidRDefault="001374CC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 xml:space="preserve">ապահովում է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Հայաստանի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="00A47A44" w:rsidRPr="00431D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="00A47A44" w:rsidRPr="00431D6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A47A44" w:rsidRPr="00431D61" w:rsidRDefault="00A47A44" w:rsidP="00A47A44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ապահովում է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  <w:r w:rsidRPr="00431D6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A47A44" w:rsidRPr="00431D61" w:rsidRDefault="00A47A44" w:rsidP="00A47A44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ապահովում է </w:t>
            </w:r>
            <w:r w:rsidR="00430A5C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անասնաբուժության 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բնագավառում Տեսչական մարմնի գործունեության վերաբերյալ ծրագրերի մշակման և իրականացման աշխատանքներին Վարչության մասնակցությունը</w:t>
            </w:r>
            <w:r w:rsidRPr="00431D61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A47A44" w:rsidRPr="00431D61" w:rsidRDefault="00A47A44" w:rsidP="00A47A44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</w:pP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ապահովում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է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իրականացումը</w:t>
            </w:r>
            <w:r w:rsidRPr="00431D61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A47A44" w:rsidRPr="009978D2" w:rsidRDefault="004F6AEC" w:rsidP="00F27969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4F6AEC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A47A44" w:rsidRPr="00431D6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ապահովում է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="00A47A44" w:rsidRPr="00431D61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="00A47A44" w:rsidRPr="00431D6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="00A47A44" w:rsidRPr="00431D6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յան </w:t>
            </w:r>
            <w:r w:rsidR="00A47A44" w:rsidRPr="009978D2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ցուցաբերման աշխատանքների իրականացումը.</w:t>
            </w:r>
          </w:p>
          <w:p w:rsidR="009978D2" w:rsidRPr="009978D2" w:rsidRDefault="009978D2" w:rsidP="009978D2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9978D2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ապահովում է մոնիթորինգի կամ ուժեղացված լաբորատոր հսկողության ընթացքում հայտնաբերված խախտումների մասին Եվրասիական տնտեսական միության անդամ  երկրներին սահմանված կարգով և ժամկետներում տեղեկատվության տրամադրումը.</w:t>
            </w:r>
          </w:p>
          <w:p w:rsidR="009978D2" w:rsidRPr="009978D2" w:rsidRDefault="009978D2" w:rsidP="009978D2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978D2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ապահովում է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կարգով.</w:t>
            </w:r>
          </w:p>
          <w:p w:rsidR="002D7983" w:rsidRPr="00431D61" w:rsidRDefault="002D7983" w:rsidP="00F27969">
            <w:p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</w:p>
          <w:p w:rsidR="003C5E15" w:rsidRPr="00431D61" w:rsidRDefault="007C5CD9" w:rsidP="00F279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31D61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431D61" w:rsidRDefault="00DC5D33" w:rsidP="00F27969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B4E34" w:rsidRPr="00431D61" w:rsidRDefault="00CB4E34" w:rsidP="00DE493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իրավաբանական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A2F57"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504A25" w:rsidRPr="00431D61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04A25" w:rsidRPr="00431D61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431D61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5AAB" w:rsidRPr="00431D61" w:rsidRDefault="00504A25" w:rsidP="00DE493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համագործակցել ա</w:t>
            </w:r>
            <w:r w:rsidR="00995AAB" w:rsidRPr="00431D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նասնաբուժության ոլորտում միջազգային կազմակերպությունների հետ, ոլորտին առնչվող հարցերի քննարկման նպատակով</w:t>
            </w:r>
            <w:r w:rsidRPr="00431D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մասնակցել</w:t>
            </w:r>
            <w:r w:rsidR="00995AAB" w:rsidRPr="00431D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կազմակերպված միջազգային կոնֆերանսներին, ժողովներին, խորհրդակցություններին</w:t>
            </w:r>
            <w:r w:rsidR="00995AAB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6F75" w:rsidRPr="00431D61" w:rsidRDefault="00426F75" w:rsidP="00DE493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ծրագրերի, նախագծերի մշակման աշխատանքներին</w:t>
            </w:r>
            <w:r w:rsidRPr="00431D6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775518" w:rsidRPr="00431D61" w:rsidRDefault="00A30269" w:rsidP="00DE493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6A2F57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504A25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Վար</w:t>
            </w:r>
            <w:r w:rsidR="00433BED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չության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</w:t>
            </w:r>
            <w:r w:rsidR="00F55B0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1C0918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431D61" w:rsidRDefault="00A30269" w:rsidP="00DE493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504A25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504A25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Վա</w:t>
            </w:r>
            <w:r w:rsidR="00433BED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չության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աշխատանքներին մասնագետներ, փորձագետներ, գիտական հաստատությունների ներկայացուցիչներ ներգրավելու վերաբերյալ</w:t>
            </w:r>
            <w:r w:rsidR="001C0918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431D61" w:rsidRDefault="00A30269" w:rsidP="00DE493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504A25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="001C0918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431D61" w:rsidRDefault="00906FC4" w:rsidP="00DE493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Վար</w:t>
            </w:r>
            <w:r w:rsidR="00433BED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չության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խնդիրների և գործառույթների իրականացման հետ կապված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="007755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="00A3026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A3026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A3026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431D61" w:rsidRDefault="00775518" w:rsidP="00F279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431D61" w:rsidRDefault="007C5CD9" w:rsidP="00F27969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431D61" w:rsidRDefault="007C5CD9" w:rsidP="00F279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CB4E34" w:rsidRPr="00431D61" w:rsidRDefault="002270FE" w:rsidP="00DE493A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270F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</w:t>
            </w:r>
            <w:r w:rsidR="00D1147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երլուծել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,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</w:t>
            </w:r>
            <w:r w:rsidR="00CB4E34" w:rsidRPr="00431D6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1147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արդյունքները </w:t>
            </w:r>
            <w:r w:rsidR="00CB4E3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 բացահայտված խախտումները վերացնելու նպատակով Տեսչական մարմնի ղեկավարին</w:t>
            </w:r>
            <w:r w:rsidR="00906FC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906FC4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ներկայացնել խնդիրների լուծմանն ուղղված առաջարկություններ՝ անհրաժեշտ հիմնավորումներով և փաստաթղթերով</w:t>
            </w:r>
            <w:r w:rsidR="00CB4E34"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600C7" w:rsidRPr="00CE5E61" w:rsidRDefault="004014AA" w:rsidP="00DE493A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</w:t>
            </w:r>
            <w:r w:rsidR="001600C7"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հանել, պլանավորել Վարչության առջև դրված խնդիրներով և գործառույթներով պայմանավորված ռազմավարական խնդիրները, կանխորոշել դրանց լուծման ուղիները.</w:t>
            </w:r>
          </w:p>
          <w:p w:rsidR="00CE5E61" w:rsidRPr="002270FE" w:rsidRDefault="00CE5E61" w:rsidP="00DE493A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E5E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տնտեսվարող սուբյեկտների կողմից ներկայացված փաստաթղթերի՝ օրենսդրության պահանջներին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համապատասխանությ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ունը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ստուգ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ելու և խախտումներ չհայտնաբերելու դեպքում տրամադրել թույլտվություններ ներմուծվող, արտահանվող, տարանցիկ փոխադրվող անասնաբուժա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 ենթահսկման ապրանքների համար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.</w:t>
            </w:r>
          </w:p>
          <w:p w:rsidR="002270FE" w:rsidRPr="002270FE" w:rsidRDefault="002270FE" w:rsidP="00DE493A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270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հիվանդություններից անկումների պատճառների վերլուծությ</w:t>
            </w:r>
            <w:r w:rsidRPr="00227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 արդյունքները, օրենսդրության պահանջների խախտումներ, բացթողումներ հայտնաբերելու դեպքում տալ դրանց վերացման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ն ուղղված համապատասխան հանձնարա</w:t>
            </w:r>
            <w:r w:rsidRPr="00227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րականներ, ինչպես նաև դրանց վերաբերյալ ներկայացնել մասնագիտական եզրակացություններ.</w:t>
            </w:r>
          </w:p>
          <w:p w:rsidR="002270FE" w:rsidRPr="00431D61" w:rsidRDefault="002270FE" w:rsidP="00DE493A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27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ուսումնասիրել</w:t>
            </w:r>
            <w:r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անասնահամաճ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արակային իրավիճակի կանխորոշ</w:t>
            </w:r>
            <w:r w:rsidRPr="00227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ման</w:t>
            </w:r>
            <w:r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  գնահա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տ</w:t>
            </w:r>
            <w:r w:rsidRPr="00227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մա</w:t>
            </w:r>
            <w:r w:rsidR="004B0840" w:rsidRPr="004B08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ն</w:t>
            </w:r>
            <w:r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և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մշտադիտարկ</w:t>
            </w:r>
            <w:r w:rsidRPr="00227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մա</w:t>
            </w:r>
            <w:r w:rsidR="004B0840" w:rsidRPr="004B08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ն</w:t>
            </w:r>
            <w:r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(մոնիթորինգ</w:t>
            </w:r>
            <w:r w:rsidRPr="00227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</w:t>
            </w:r>
            <w:r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)</w:t>
            </w:r>
            <w:r w:rsidR="004B0840" w:rsidRPr="004B08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արդյունքներ</w:t>
            </w:r>
            <w:r w:rsidRPr="00227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ը, </w:t>
            </w:r>
            <w:r w:rsidR="00CE5E61" w:rsidRPr="00CE5E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խախտումների հայտնաբերման դեպ</w:t>
            </w:r>
            <w:r w:rsidR="00CE5E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քում տալ անհրաժեշտ ցուցումներ</w:t>
            </w:r>
            <w:r w:rsidR="00CE5E61" w:rsidRPr="00CE5E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 հրահանգներ</w:t>
            </w:r>
            <w:r w:rsidRPr="00227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E5E61" w:rsidRPr="00CE5E6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և ներկայացնել մասնագիտական եզրակացություն.</w:t>
            </w:r>
          </w:p>
          <w:p w:rsidR="00995AAB" w:rsidRPr="00431D61" w:rsidRDefault="00995AAB" w:rsidP="00DE493A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 վարակիչ հիվանդությունների դեմ պայքարի և կանխարգելման հրահանգների և մեթոդական ուղեցույցների մշակման աշխատանքներին, անհրաժեշտության դեպքում</w:t>
            </w:r>
            <w:r w:rsidR="00906FC4"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մեթոդական </w:t>
            </w:r>
            <w:r w:rsidR="00906FC4"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աջակցությու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 ցուցաբերել</w:t>
            </w:r>
            <w:r w:rsidRPr="00431D6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06FC4" w:rsidRPr="00431D61" w:rsidRDefault="00906FC4" w:rsidP="00DE493A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1C09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ր կողմից ղեկավարվող կառուցվածքային ստորաբաժանման իրավասությանը վերապահված ոլորտին առնչվող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նախագծերի, քննարկման ներկայացված իրավական ակտերի նախագծերի վերաբերյալ տրամադրել մասնագիտական կարծիք, պարզաբանել ոլորտին առնչվող բարձրացված</w:t>
            </w:r>
            <w:r w:rsidR="001C09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հարցերը և</w:t>
            </w:r>
            <w:r w:rsidR="001C09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խնդիրները</w:t>
            </w:r>
            <w:r w:rsidR="001C0918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և ներկայացնել մասնագիտական առաջարկություններ և եզրակացություններ</w:t>
            </w:r>
            <w:r w:rsidRPr="00431D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014AA" w:rsidRPr="00431D61" w:rsidRDefault="004014AA" w:rsidP="004014A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ուսումնասիրել, վերլուծել անասնաբուժության բնագավառում Տեսչական մարմնի վերահսկողության մոնիթորինգային գործունեության արդյունքները, խնդիրների, բացթողումների, օրենսդրության պահանջների խախտումներ հայտնաբերելու դեպքում տալ դրանց վերացմանն ուղղված հանձնարարականներ, ինչպես նաև այդ վերլուծության արդյունքները,  համապատասխան առաջարկություններով, հիմնավորումներով և անհրաժեշտ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փաստաթղթերով ներկայացնել Տեսչական մարմնի ղեկավարին.</w:t>
            </w:r>
          </w:p>
          <w:p w:rsidR="004014AA" w:rsidRPr="00431D61" w:rsidRDefault="004014AA" w:rsidP="004014AA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ղեկավարին, ըստ անհրաժեշտության, ներկայացնել զեկուցումներ՝ անասնաբուժության բնագավառում Տեսչական մարմնի վերահսկողության մոնիթորինգային գործունեության, իրականացված աշխատանքների և դրանց արդյունքների վերաբերյալ. </w:t>
            </w:r>
          </w:p>
          <w:p w:rsidR="00A30269" w:rsidRPr="00431D61" w:rsidRDefault="00906FC4" w:rsidP="00DE493A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հետևել Վար</w:t>
            </w:r>
            <w:r w:rsidR="00433BED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չության</w:t>
            </w:r>
            <w:r w:rsidR="00A3026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լիազորությունների շրջանակներում առաջարկությունների, հաշվետվությունների, տեղեկանքների, միջնորդագրերի, զեկուցագրերի և այլ գրությունների նախապատրաստման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աշխատանքներին, անհրաժեշտության դեպքում, տրամադրել մեթոդական աջակցություն</w:t>
            </w:r>
            <w:r w:rsidR="00624A4D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9978D2" w:rsidRDefault="007A14F0" w:rsidP="000C0633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</w:tabs>
              <w:spacing w:after="0"/>
              <w:jc w:val="both"/>
              <w:rPr>
                <w:rFonts w:ascii="GHEA Grapalat" w:eastAsia="Sylfaen" w:hAnsi="GHEA Grapalat" w:cs="Sylfaen"/>
                <w:sz w:val="24"/>
                <w:lang w:val="hy-AM"/>
              </w:rPr>
            </w:pPr>
            <w:r w:rsidRPr="00431D61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431D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906FC4" w:rsidRPr="00431D61">
              <w:rPr>
                <w:rFonts w:ascii="GHEA Grapalat" w:eastAsia="Sylfaen" w:hAnsi="GHEA Grapalat" w:cs="Sylfaen"/>
                <w:sz w:val="24"/>
                <w:lang w:val="hy-AM"/>
              </w:rPr>
              <w:t>Վար</w:t>
            </w:r>
            <w:r w:rsidR="00433BED" w:rsidRPr="00431D61">
              <w:rPr>
                <w:rFonts w:ascii="GHEA Grapalat" w:eastAsia="Sylfaen" w:hAnsi="GHEA Grapalat" w:cs="Sylfaen"/>
                <w:sz w:val="24"/>
                <w:lang w:val="hy-AM"/>
              </w:rPr>
              <w:t>չության</w:t>
            </w:r>
            <w:r w:rsidRPr="00431D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31D6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431D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31D61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431D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31D61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431D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31D6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431D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31D61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431D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31D61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431D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31D61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431D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31D61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B51AB6" w:rsidRPr="00B51AB6">
              <w:rPr>
                <w:rFonts w:ascii="GHEA Grapalat" w:eastAsia="Sylfaen" w:hAnsi="GHEA Grapalat" w:cs="Sylfaen"/>
                <w:sz w:val="24"/>
                <w:lang w:val="hy-AM"/>
              </w:rPr>
              <w:t>, խնդիրների, հակասությունների, բացերի հայտնաբերման դեպքում ներկայացնել դրանց վերացման, օրենսդրության կատարելագործման վերաբերյալ առաջարկություններ</w:t>
            </w:r>
            <w:r w:rsidRPr="009978D2">
              <w:rPr>
                <w:rFonts w:ascii="GHEA Grapalat" w:eastAsia="Sylfaen" w:hAnsi="GHEA Grapalat" w:cs="Sylfaen"/>
                <w:sz w:val="24"/>
                <w:lang w:val="hy-AM"/>
              </w:rPr>
              <w:t>.</w:t>
            </w:r>
          </w:p>
          <w:p w:rsidR="009978D2" w:rsidRPr="009978D2" w:rsidRDefault="009978D2" w:rsidP="009978D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</w:tabs>
              <w:spacing w:after="0"/>
              <w:jc w:val="both"/>
              <w:rPr>
                <w:rFonts w:ascii="GHEA Grapalat" w:eastAsia="Sylfaen" w:hAnsi="GHEA Grapalat" w:cs="Sylfaen"/>
                <w:sz w:val="24"/>
                <w:lang w:val="hy-AM"/>
              </w:rPr>
            </w:pPr>
            <w:r w:rsidRPr="009978D2">
              <w:rPr>
                <w:rFonts w:ascii="GHEA Grapalat" w:eastAsia="Sylfaen" w:hAnsi="GHEA Grapalat" w:cs="Sylfaen"/>
                <w:sz w:val="24"/>
                <w:lang w:val="hy-AM"/>
              </w:rPr>
              <w:t xml:space="preserve">hետևել մոնիթորինգի կամ ուժեղացված լաբորատոր հսկողության ընթացքում հայտնաբերված խախտումների մասին Եվրասիական տնտեսական միության անդամ երկրներին սահմանված կարգով և ժամկետներում տեղեկատվության տրամադրման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աշխատանքներին.</w:t>
            </w:r>
          </w:p>
          <w:p w:rsidR="009978D2" w:rsidRPr="000C0633" w:rsidRDefault="009978D2" w:rsidP="009978D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Arial"/>
                <w:sz w:val="24"/>
                <w:szCs w:val="24"/>
                <w:lang w:val="hy-AM"/>
              </w:rPr>
              <w:t>hետևել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աշխատանքներին՝ ԵԱՏՀ հանձնաժողովի խորհրդի սահմանած կարգով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</w:tc>
      </w:tr>
      <w:tr w:rsidR="003C5E15" w:rsidRPr="00431D61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31D61" w:rsidRDefault="003C5E15" w:rsidP="00F279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31D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31D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227BB" w:rsidRPr="00881188" w:rsidRDefault="003C5E15" w:rsidP="00887F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31D6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31D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31D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51AB6" w:rsidRPr="00881188" w:rsidRDefault="00B51AB6" w:rsidP="00887F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8"/>
              <w:gridCol w:w="6794"/>
            </w:tblGrid>
            <w:tr w:rsidR="00E64B41" w:rsidRPr="00431D61" w:rsidTr="00887F81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B41" w:rsidRPr="00431D61" w:rsidRDefault="00E64B41" w:rsidP="00F27969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431D61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B41" w:rsidRPr="00431D61" w:rsidRDefault="00E64B41" w:rsidP="00F27969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431D61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B41" w:rsidRPr="00431D61" w:rsidRDefault="00582658" w:rsidP="007B3393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31D61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51AB6" w:rsidRPr="00881188" w:rsidRDefault="00B51AB6" w:rsidP="00887F8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</w:p>
          <w:p w:rsidR="008E696F" w:rsidRPr="00431D61" w:rsidRDefault="003C5E15" w:rsidP="00887F8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431D6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31D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31D61">
              <w:rPr>
                <w:rFonts w:ascii="GHEA Grapalat" w:hAnsi="GHEA Grapalat"/>
                <w:lang w:val="hy-AM"/>
              </w:rPr>
              <w:br/>
            </w:r>
            <w:r w:rsidRPr="00431D61">
              <w:rPr>
                <w:rFonts w:ascii="GHEA Grapalat" w:hAnsi="GHEA Grapalat" w:cs="Sylfaen"/>
                <w:lang w:val="hy-AM"/>
              </w:rPr>
              <w:t>Ունի</w:t>
            </w:r>
            <w:r w:rsidRPr="00431D61">
              <w:rPr>
                <w:rFonts w:ascii="GHEA Grapalat" w:hAnsi="GHEA Grapalat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31D61">
              <w:rPr>
                <w:rFonts w:ascii="GHEA Grapalat" w:hAnsi="GHEA Grapalat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lang w:val="hy-AM"/>
              </w:rPr>
              <w:t>իրականացման</w:t>
            </w:r>
            <w:r w:rsidRPr="00431D61">
              <w:rPr>
                <w:rFonts w:ascii="GHEA Grapalat" w:hAnsi="GHEA Grapalat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lang w:val="hy-AM"/>
              </w:rPr>
              <w:t>համար</w:t>
            </w:r>
            <w:r w:rsidRPr="00431D61">
              <w:rPr>
                <w:rFonts w:ascii="GHEA Grapalat" w:hAnsi="GHEA Grapalat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lang w:val="hy-AM"/>
              </w:rPr>
              <w:t>անհրաժեշտ</w:t>
            </w:r>
            <w:r w:rsidRPr="00431D61">
              <w:rPr>
                <w:rFonts w:ascii="GHEA Grapalat" w:hAnsi="GHEA Grapalat"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lang w:val="hy-AM"/>
              </w:rPr>
              <w:t>գիտելիքներ</w:t>
            </w:r>
            <w:r w:rsidRPr="00431D61">
              <w:rPr>
                <w:rFonts w:ascii="GHEA Grapalat" w:hAnsi="GHEA Grapalat"/>
                <w:lang w:val="hy-AM"/>
              </w:rPr>
              <w:br/>
            </w:r>
            <w:r w:rsidRPr="00431D61">
              <w:rPr>
                <w:rFonts w:ascii="GHEA Grapalat" w:hAnsi="GHEA Grapalat"/>
                <w:b/>
                <w:lang w:val="hy-AM"/>
              </w:rPr>
              <w:t>3.3.</w:t>
            </w:r>
            <w:r w:rsidRPr="00431D6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31D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31D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31D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31D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31D61">
              <w:rPr>
                <w:rFonts w:ascii="GHEA Grapalat" w:hAnsi="GHEA Grapalat"/>
                <w:lang w:val="hy-AM"/>
              </w:rPr>
              <w:br/>
            </w:r>
            <w:r w:rsidR="00775518" w:rsidRPr="00431D6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906FC4" w:rsidRPr="00431D61">
              <w:rPr>
                <w:rFonts w:ascii="GHEA Grapalat" w:hAnsi="GHEA Grapalat" w:cs="Sylfaen"/>
                <w:lang w:val="hy-AM"/>
              </w:rPr>
              <w:t xml:space="preserve">ռնվազն </w:t>
            </w:r>
            <w:r w:rsidR="00D1147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906FC4" w:rsidRPr="00431D61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D1147D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431D6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9C1745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</w:t>
            </w:r>
            <w:r w:rsidR="009C1745" w:rsidRPr="009C1745">
              <w:rPr>
                <w:rFonts w:ascii="GHEA Grapalat" w:hAnsi="GHEA Grapalat" w:cs="Sylfaen"/>
                <w:lang w:val="hy-AM"/>
              </w:rPr>
              <w:lastRenderedPageBreak/>
              <w:t xml:space="preserve">կամ </w:t>
            </w:r>
            <w:r w:rsidR="008401E9" w:rsidRPr="008401E9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8401E9">
              <w:rPr>
                <w:rFonts w:ascii="GHEA Grapalat" w:hAnsi="GHEA Grapalat" w:cs="Sylfaen"/>
                <w:lang w:val="hy-AM"/>
              </w:rPr>
              <w:t>գյուղատնտե</w:t>
            </w:r>
            <w:r w:rsidR="008401E9" w:rsidRPr="008401E9">
              <w:rPr>
                <w:rFonts w:ascii="GHEA Grapalat" w:hAnsi="GHEA Grapalat" w:cs="Sylfaen"/>
                <w:lang w:val="hy-AM"/>
              </w:rPr>
              <w:t xml:space="preserve">սության </w:t>
            </w:r>
            <w:r w:rsidR="009C1745" w:rsidRPr="009C1745">
              <w:rPr>
                <w:rFonts w:ascii="GHEA Grapalat" w:hAnsi="GHEA Grapalat" w:cs="Sylfaen"/>
                <w:lang w:val="hy-AM"/>
              </w:rPr>
              <w:t xml:space="preserve">կամ առողջապահության կամ ստուգումների կազմակերպման </w:t>
            </w:r>
            <w:r w:rsidR="008401E9" w:rsidRPr="008401E9">
              <w:rPr>
                <w:rFonts w:ascii="GHEA Grapalat" w:hAnsi="GHEA Grapalat" w:cs="Sylfaen"/>
                <w:lang w:val="hy-AM"/>
              </w:rPr>
              <w:t xml:space="preserve">և </w:t>
            </w:r>
            <w:r w:rsidR="009C1745" w:rsidRPr="009C1745">
              <w:rPr>
                <w:rFonts w:ascii="GHEA Grapalat" w:hAnsi="GHEA Grapalat" w:cs="Sylfaen"/>
                <w:lang w:val="hy-AM"/>
              </w:rPr>
              <w:t xml:space="preserve">անցկացման բնագավառում կամ </w:t>
            </w:r>
            <w:r w:rsidR="002D7983" w:rsidRPr="00431D61">
              <w:rPr>
                <w:rFonts w:ascii="GHEA Grapalat" w:hAnsi="GHEA Grapalat"/>
                <w:bCs/>
                <w:lang w:val="hy-AM"/>
              </w:rPr>
              <w:t xml:space="preserve">պետական </w:t>
            </w:r>
            <w:r w:rsidR="00D1147D">
              <w:rPr>
                <w:rFonts w:ascii="GHEA Grapalat" w:hAnsi="GHEA Grapalat"/>
                <w:bCs/>
                <w:lang w:val="hy-AM"/>
              </w:rPr>
              <w:t xml:space="preserve">կազմակերպությունների և հիմնարկների </w:t>
            </w:r>
            <w:r w:rsidR="009C1745">
              <w:rPr>
                <w:rFonts w:ascii="GHEA Grapalat" w:hAnsi="GHEA Grapalat"/>
                <w:bCs/>
                <w:lang w:val="hy-AM"/>
              </w:rPr>
              <w:t>ղեկավարման</w:t>
            </w:r>
            <w:r w:rsidR="00775518" w:rsidRPr="00431D61">
              <w:rPr>
                <w:rFonts w:ascii="GHEA Grapalat" w:hAnsi="GHEA Grapalat" w:cs="Sylfaen"/>
                <w:lang w:val="hy-AM"/>
              </w:rPr>
              <w:t xml:space="preserve">` </w:t>
            </w:r>
            <w:r w:rsidR="00D1147D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431D6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431D6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31D6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31D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1D6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31D61" w:rsidRDefault="008E696F" w:rsidP="00F2796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431D6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CE5E61" w:rsidRPr="00CE5E61" w:rsidRDefault="0000101D" w:rsidP="00F2796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r w:rsidR="001600C7" w:rsidRPr="00CE5E61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00101D" w:rsidRPr="00CE5E61" w:rsidRDefault="0000101D" w:rsidP="00CE5E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431D61" w:rsidRDefault="0000101D" w:rsidP="001600C7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CE5E61" w:rsidRDefault="0000101D" w:rsidP="00F2796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CE5E61"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 կառավարում</w:t>
            </w:r>
          </w:p>
          <w:p w:rsidR="0000101D" w:rsidRPr="00431D61" w:rsidRDefault="0000101D" w:rsidP="00F2796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431D61" w:rsidRDefault="0000101D" w:rsidP="00F2796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31D6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431D61" w:rsidRDefault="008E696F" w:rsidP="00F2796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31D6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31D61" w:rsidRDefault="00531B09" w:rsidP="00F2796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31D6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431D61" w:rsidRDefault="00531B09" w:rsidP="00F2796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31D61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431D61" w:rsidRDefault="00531B09" w:rsidP="00F2796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31D6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431D61" w:rsidRDefault="00531B09" w:rsidP="00F2796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31D6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431D61" w:rsidRDefault="00531B09" w:rsidP="00F2796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31D6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431D61" w:rsidRDefault="00531B09" w:rsidP="00F2796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31D61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D1147D" w:rsidRDefault="00531B09" w:rsidP="00D1147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31D61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3C5E15" w:rsidRPr="009978D2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31D61" w:rsidRDefault="003C5E15" w:rsidP="00F279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31D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43050E" w:rsidRPr="00431D61" w:rsidRDefault="0043050E" w:rsidP="00F27969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7C2C89" w:rsidRPr="00431D61" w:rsidRDefault="007C2C89" w:rsidP="00F27969">
            <w:pPr>
              <w:spacing w:after="0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համապատասխան մարմնի կառուցվածքային ստորաբաժանման աշխատանքների կազմակերպման</w:t>
            </w:r>
            <w:r w:rsid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ղեկավարման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համար:</w:t>
            </w:r>
          </w:p>
          <w:p w:rsidR="00D17BF4" w:rsidRPr="00431D61" w:rsidRDefault="007D607D" w:rsidP="00F27969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43050E" w:rsidRPr="00431D61" w:rsidRDefault="0043050E" w:rsidP="00F27969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43050E" w:rsidRPr="00431D61" w:rsidRDefault="007C2C89" w:rsidP="00F27969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համապատասխան մարմնի </w:t>
            </w:r>
            <w:r w:rsidR="00C36238"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 ստորաբաժանման աշխատանքների կազմակերպման</w:t>
            </w:r>
            <w:r w:rsid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ղեկավարման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շրջանակներում։</w:t>
            </w:r>
            <w:r w:rsidR="0043050E" w:rsidRPr="00431D6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7D607D" w:rsidRPr="00431D61" w:rsidRDefault="0043050E" w:rsidP="00F2796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C2C89" w:rsidRPr="00392B98" w:rsidRDefault="0000101D" w:rsidP="007C2C89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="007C2C8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ազդեցությունը սահմանափակվում է </w:t>
            </w:r>
            <w:r w:rsidR="007C2C89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համապետական մակարդակով որոշակի ոլորտով</w:t>
            </w:r>
            <w:r w:rsidR="00F6352B"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C36238" w:rsidRPr="000C0633" w:rsidRDefault="0043050E" w:rsidP="007C2C89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</w:p>
          <w:p w:rsidR="00392B98" w:rsidRPr="008401E9" w:rsidRDefault="00392B98" w:rsidP="00392B98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:rsidR="00EE5076" w:rsidRPr="00392B98" w:rsidRDefault="0000101D" w:rsidP="00392B98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</w:t>
            </w:r>
            <w:r w:rsidR="00C36238"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ներկայացուցիչների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36238"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օտարերկրյա պետությունների և միջազգային կազմակերպությունների ներկայացուցիչների հետ</w:t>
            </w:r>
            <w:r w:rsidR="00C36238"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ներկայացնելով համապատասխան կառուցվածքային ստորաբաժանումը: </w:t>
            </w:r>
            <w:r w:rsidR="007C2C89"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392B98" w:rsidRPr="008401E9" w:rsidRDefault="00392B98" w:rsidP="00F27969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:rsidR="0043050E" w:rsidRPr="00431D61" w:rsidRDefault="0043050E" w:rsidP="00F2796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7C2C89" w:rsidRDefault="007C2C89" w:rsidP="00C3623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բացահայտում, վերլուծում և գնահատում է </w:t>
            </w:r>
            <w:r w:rsidR="00C36238" w:rsidRP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կողմից ղեկավարվող կառուցվածքային ստորաբաժանման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խնդիրները</w:t>
            </w:r>
            <w:r w:rsidR="00C36238" w:rsidRP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դրանց տալիս  </w:t>
            </w:r>
            <w:r w:rsidR="00673B1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լուծումներ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  <w:r w:rsidR="007D607D" w:rsidRPr="007C2C89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600C7" w:rsidRDefault="001859CD" w:rsidP="00F27969">
      <w:pPr>
        <w:rPr>
          <w:rFonts w:ascii="GHEA Grapalat" w:hAnsi="GHEA Grapalat"/>
          <w:lang w:val="hy-AM"/>
        </w:rPr>
      </w:pPr>
    </w:p>
    <w:sectPr w:rsidR="001859CD" w:rsidRPr="001600C7" w:rsidSect="002D7983">
      <w:pgSz w:w="12240" w:h="15840"/>
      <w:pgMar w:top="568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BD5"/>
    <w:multiLevelType w:val="hybridMultilevel"/>
    <w:tmpl w:val="5518FBB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96A5F61"/>
    <w:multiLevelType w:val="hybridMultilevel"/>
    <w:tmpl w:val="8970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9F3A25"/>
    <w:multiLevelType w:val="hybridMultilevel"/>
    <w:tmpl w:val="9B127AC6"/>
    <w:lvl w:ilvl="0" w:tplc="273A3CF2">
      <w:start w:val="2"/>
      <w:numFmt w:val="decimal"/>
      <w:lvlText w:val="%1"/>
      <w:lvlJc w:val="left"/>
      <w:pPr>
        <w:ind w:left="108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6714E"/>
    <w:multiLevelType w:val="hybridMultilevel"/>
    <w:tmpl w:val="00004338"/>
    <w:lvl w:ilvl="0" w:tplc="C78E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9385A"/>
    <w:multiLevelType w:val="hybridMultilevel"/>
    <w:tmpl w:val="171C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010DC6"/>
    <w:multiLevelType w:val="hybridMultilevel"/>
    <w:tmpl w:val="420C525C"/>
    <w:lvl w:ilvl="0" w:tplc="2D0CAF3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3"/>
  </w:num>
  <w:num w:numId="5">
    <w:abstractNumId w:val="4"/>
  </w:num>
  <w:num w:numId="6">
    <w:abstractNumId w:val="10"/>
  </w:num>
  <w:num w:numId="7">
    <w:abstractNumId w:val="18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1"/>
  </w:num>
  <w:num w:numId="17">
    <w:abstractNumId w:val="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0395"/>
    <w:rsid w:val="00034CC1"/>
    <w:rsid w:val="000352C8"/>
    <w:rsid w:val="00064791"/>
    <w:rsid w:val="00071D85"/>
    <w:rsid w:val="000744E6"/>
    <w:rsid w:val="00084C9F"/>
    <w:rsid w:val="000C0633"/>
    <w:rsid w:val="000D31AF"/>
    <w:rsid w:val="000F558D"/>
    <w:rsid w:val="0010100C"/>
    <w:rsid w:val="001042D4"/>
    <w:rsid w:val="00107823"/>
    <w:rsid w:val="00113C7C"/>
    <w:rsid w:val="00122F8F"/>
    <w:rsid w:val="001374CC"/>
    <w:rsid w:val="00143524"/>
    <w:rsid w:val="001600C7"/>
    <w:rsid w:val="00184F3C"/>
    <w:rsid w:val="001859CD"/>
    <w:rsid w:val="001C0918"/>
    <w:rsid w:val="001D4AD3"/>
    <w:rsid w:val="001F0135"/>
    <w:rsid w:val="001F4A57"/>
    <w:rsid w:val="001F5027"/>
    <w:rsid w:val="002270FE"/>
    <w:rsid w:val="00251AF0"/>
    <w:rsid w:val="002D7983"/>
    <w:rsid w:val="002E2AF9"/>
    <w:rsid w:val="00317CA3"/>
    <w:rsid w:val="003260E5"/>
    <w:rsid w:val="00334754"/>
    <w:rsid w:val="00343519"/>
    <w:rsid w:val="00392B98"/>
    <w:rsid w:val="003C5E15"/>
    <w:rsid w:val="003D1668"/>
    <w:rsid w:val="003E6F0D"/>
    <w:rsid w:val="004014AA"/>
    <w:rsid w:val="00411E7F"/>
    <w:rsid w:val="00416E41"/>
    <w:rsid w:val="00425257"/>
    <w:rsid w:val="00426F75"/>
    <w:rsid w:val="004271F4"/>
    <w:rsid w:val="0043050E"/>
    <w:rsid w:val="00430641"/>
    <w:rsid w:val="00430A5C"/>
    <w:rsid w:val="00431D61"/>
    <w:rsid w:val="00433BED"/>
    <w:rsid w:val="00466788"/>
    <w:rsid w:val="004817A8"/>
    <w:rsid w:val="004973F5"/>
    <w:rsid w:val="0049783D"/>
    <w:rsid w:val="004A1CB2"/>
    <w:rsid w:val="004A2807"/>
    <w:rsid w:val="004B0840"/>
    <w:rsid w:val="004E48C0"/>
    <w:rsid w:val="004F182B"/>
    <w:rsid w:val="004F6AEC"/>
    <w:rsid w:val="00504A25"/>
    <w:rsid w:val="00504CE0"/>
    <w:rsid w:val="00523320"/>
    <w:rsid w:val="00527D90"/>
    <w:rsid w:val="00530A0E"/>
    <w:rsid w:val="00531B09"/>
    <w:rsid w:val="00554281"/>
    <w:rsid w:val="0056483E"/>
    <w:rsid w:val="00582658"/>
    <w:rsid w:val="005D3382"/>
    <w:rsid w:val="005E646E"/>
    <w:rsid w:val="00624A4D"/>
    <w:rsid w:val="00656DFC"/>
    <w:rsid w:val="00673B12"/>
    <w:rsid w:val="006A2F57"/>
    <w:rsid w:val="006A3E25"/>
    <w:rsid w:val="006A54A3"/>
    <w:rsid w:val="006B1D27"/>
    <w:rsid w:val="006C2ECD"/>
    <w:rsid w:val="006D2B6F"/>
    <w:rsid w:val="00715CDE"/>
    <w:rsid w:val="00761296"/>
    <w:rsid w:val="007745EC"/>
    <w:rsid w:val="00775518"/>
    <w:rsid w:val="007A14F0"/>
    <w:rsid w:val="007B3393"/>
    <w:rsid w:val="007C2C89"/>
    <w:rsid w:val="007C37E9"/>
    <w:rsid w:val="007C5CD9"/>
    <w:rsid w:val="007D607D"/>
    <w:rsid w:val="007E430A"/>
    <w:rsid w:val="00802C83"/>
    <w:rsid w:val="008401E9"/>
    <w:rsid w:val="008627C8"/>
    <w:rsid w:val="008802B3"/>
    <w:rsid w:val="00881188"/>
    <w:rsid w:val="00887F81"/>
    <w:rsid w:val="00893785"/>
    <w:rsid w:val="008B53B8"/>
    <w:rsid w:val="008C7304"/>
    <w:rsid w:val="008E5ADA"/>
    <w:rsid w:val="008E696F"/>
    <w:rsid w:val="008E7DA4"/>
    <w:rsid w:val="008F5108"/>
    <w:rsid w:val="00906FC4"/>
    <w:rsid w:val="009248A6"/>
    <w:rsid w:val="009308FC"/>
    <w:rsid w:val="0098417D"/>
    <w:rsid w:val="00995AAB"/>
    <w:rsid w:val="009978D2"/>
    <w:rsid w:val="009A6B78"/>
    <w:rsid w:val="009C1745"/>
    <w:rsid w:val="009D0775"/>
    <w:rsid w:val="00A26C41"/>
    <w:rsid w:val="00A30269"/>
    <w:rsid w:val="00A47A44"/>
    <w:rsid w:val="00A47B7E"/>
    <w:rsid w:val="00A84902"/>
    <w:rsid w:val="00A91FE2"/>
    <w:rsid w:val="00AA4C3B"/>
    <w:rsid w:val="00AC57ED"/>
    <w:rsid w:val="00AE0F91"/>
    <w:rsid w:val="00AE2B84"/>
    <w:rsid w:val="00B51AB6"/>
    <w:rsid w:val="00B674BF"/>
    <w:rsid w:val="00B71ACB"/>
    <w:rsid w:val="00B7239E"/>
    <w:rsid w:val="00BB6BB4"/>
    <w:rsid w:val="00BC2567"/>
    <w:rsid w:val="00BC42CA"/>
    <w:rsid w:val="00C179D4"/>
    <w:rsid w:val="00C21983"/>
    <w:rsid w:val="00C26ACD"/>
    <w:rsid w:val="00C36238"/>
    <w:rsid w:val="00C45438"/>
    <w:rsid w:val="00C55626"/>
    <w:rsid w:val="00C61C6B"/>
    <w:rsid w:val="00C9375E"/>
    <w:rsid w:val="00CB4E34"/>
    <w:rsid w:val="00CC37A1"/>
    <w:rsid w:val="00CD1366"/>
    <w:rsid w:val="00CE5E61"/>
    <w:rsid w:val="00CE633A"/>
    <w:rsid w:val="00D1147D"/>
    <w:rsid w:val="00D160D0"/>
    <w:rsid w:val="00D17BF4"/>
    <w:rsid w:val="00D4390F"/>
    <w:rsid w:val="00D45F52"/>
    <w:rsid w:val="00D57032"/>
    <w:rsid w:val="00DC29D8"/>
    <w:rsid w:val="00DC5D33"/>
    <w:rsid w:val="00DE493A"/>
    <w:rsid w:val="00E05764"/>
    <w:rsid w:val="00E2272E"/>
    <w:rsid w:val="00E227BB"/>
    <w:rsid w:val="00E23E3E"/>
    <w:rsid w:val="00E3122E"/>
    <w:rsid w:val="00E46A55"/>
    <w:rsid w:val="00E52998"/>
    <w:rsid w:val="00E52F82"/>
    <w:rsid w:val="00E64B41"/>
    <w:rsid w:val="00E72386"/>
    <w:rsid w:val="00E93366"/>
    <w:rsid w:val="00EB1C2C"/>
    <w:rsid w:val="00EB368E"/>
    <w:rsid w:val="00ED6921"/>
    <w:rsid w:val="00EE5076"/>
    <w:rsid w:val="00EF6445"/>
    <w:rsid w:val="00F153B7"/>
    <w:rsid w:val="00F27969"/>
    <w:rsid w:val="00F467ED"/>
    <w:rsid w:val="00F55B09"/>
    <w:rsid w:val="00F6352B"/>
    <w:rsid w:val="00FA6E28"/>
    <w:rsid w:val="00FB1AF6"/>
    <w:rsid w:val="00FB232D"/>
    <w:rsid w:val="00FB4AB2"/>
    <w:rsid w:val="00FC1462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EE1F"/>
  <w15:docId w15:val="{4EFEB22D-5FBC-468B-A400-005EB7A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IBL List Paragraph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FA3D-D3D1-4589-8381-96386369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2090</Words>
  <Characters>11914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141</cp:revision>
  <cp:lastPrinted>2019-03-13T08:19:00Z</cp:lastPrinted>
  <dcterms:created xsi:type="dcterms:W3CDTF">2019-11-18T07:40:00Z</dcterms:created>
  <dcterms:modified xsi:type="dcterms:W3CDTF">2024-09-18T07:21:00Z</dcterms:modified>
</cp:coreProperties>
</file>