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D3" w:rsidRPr="00E946BD" w:rsidRDefault="003C5E15" w:rsidP="00003DD3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  <w:r w:rsidR="00003DD3" w:rsidRPr="00E946BD">
        <w:rPr>
          <w:rFonts w:ascii="GHEA Grapalat" w:eastAsia="Times New Roman" w:hAnsi="GHEA Grapalat" w:cs="Sylfaen"/>
          <w:sz w:val="16"/>
          <w:szCs w:val="16"/>
        </w:rPr>
        <w:t xml:space="preserve">Հավելված N  </w:t>
      </w:r>
      <w:r w:rsidR="00C301E5">
        <w:rPr>
          <w:rFonts w:ascii="GHEA Grapalat" w:eastAsia="Times New Roman" w:hAnsi="GHEA Grapalat" w:cs="Sylfaen"/>
          <w:sz w:val="16"/>
          <w:szCs w:val="16"/>
          <w:lang w:val="ru-RU"/>
        </w:rPr>
        <w:t>10</w:t>
      </w:r>
      <w:r w:rsidR="00003DD3" w:rsidRPr="00E946BD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003DD3" w:rsidRPr="00E946BD" w:rsidRDefault="00003DD3" w:rsidP="00003DD3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946B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E946B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946BD">
        <w:rPr>
          <w:rFonts w:ascii="GHEA Grapalat" w:eastAsia="Times New Roman" w:hAnsi="GHEA Grapalat" w:cs="Sylfaen"/>
          <w:sz w:val="16"/>
          <w:szCs w:val="16"/>
        </w:rPr>
        <w:t>է</w:t>
      </w:r>
    </w:p>
    <w:p w:rsidR="00003DD3" w:rsidRPr="00E946BD" w:rsidRDefault="00003DD3" w:rsidP="00003DD3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946B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E946B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E946B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003DD3" w:rsidRPr="00E946BD" w:rsidRDefault="00003DD3" w:rsidP="00003DD3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946B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E946B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E946B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301E5" w:rsidRDefault="00752728" w:rsidP="00C301E5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301E5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C301E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946BD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27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0C36A6" w:rsidRPr="00E946BD" w:rsidRDefault="000C36A6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E946BD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946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67FFB" w:rsidRPr="00E946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8C7304" w:rsidRPr="00E946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 ՊԵՏ</w:t>
      </w:r>
      <w:r w:rsidR="00056169" w:rsidRPr="00E946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 ՏԵՂԱԿԱԼ</w:t>
      </w:r>
    </w:p>
    <w:p w:rsidR="00113C7C" w:rsidRPr="00E946BD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946BD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101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8"/>
        <w:gridCol w:w="36"/>
      </w:tblGrid>
      <w:tr w:rsidR="003C5E15" w:rsidRPr="00E946BD" w:rsidTr="0080179F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946BD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E946B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DE131B" w:rsidRPr="00E946BD" w:rsidTr="00F24829">
        <w:trPr>
          <w:trHeight w:val="26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31B" w:rsidRPr="00E946BD" w:rsidRDefault="00DE131B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E946B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1B5E7B"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արչության 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 պետ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 տեղակալ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 </w:t>
            </w:r>
            <w:r w:rsidRPr="00E946B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E946BD">
              <w:rPr>
                <w:rFonts w:ascii="GHEA Grapalat" w:hAnsi="GHEA Grapalat"/>
                <w:sz w:val="24"/>
                <w:szCs w:val="24"/>
              </w:rPr>
              <w:t>.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946BD">
              <w:rPr>
                <w:rFonts w:ascii="GHEA Grapalat" w:hAnsi="GHEA Grapalat"/>
                <w:sz w:val="24"/>
                <w:szCs w:val="24"/>
              </w:rPr>
              <w:t>-Ղ</w:t>
            </w:r>
            <w:r w:rsidR="00084158">
              <w:rPr>
                <w:rFonts w:ascii="GHEA Grapalat" w:hAnsi="GHEA Grapalat"/>
                <w:sz w:val="24"/>
                <w:szCs w:val="24"/>
              </w:rPr>
              <w:t>4</w:t>
            </w:r>
            <w:r w:rsidRPr="00E946BD">
              <w:rPr>
                <w:rFonts w:ascii="GHEA Grapalat" w:hAnsi="GHEA Grapalat"/>
                <w:sz w:val="24"/>
                <w:szCs w:val="24"/>
              </w:rPr>
              <w:t>-1)</w:t>
            </w:r>
            <w:r w:rsidRPr="00E946B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DE131B" w:rsidRPr="00E946BD" w:rsidRDefault="00DE131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Վարչության </w:t>
            </w:r>
            <w:r w:rsidRPr="00E946B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 տեղակալն անմիջական ենթակա  և հաշվետու է Վարչության  պետին. </w:t>
            </w:r>
            <w:r w:rsidRPr="00E946B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Վարչության  պետի տեղակալը ենթակա և հաշվետու</w:t>
            </w:r>
            <w:r w:rsidRPr="00E946BD">
              <w:rPr>
                <w:rFonts w:ascii="GHEA Grapalat" w:hAnsi="GHEA Grapalat"/>
                <w:sz w:val="24"/>
                <w:lang w:val="hy-AM"/>
              </w:rPr>
              <w:t xml:space="preserve"> աշխատողներ չունի</w:t>
            </w:r>
            <w:r w:rsidRPr="00E946BD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DE131B" w:rsidRPr="00B1264A" w:rsidRDefault="00DE131B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B1264A" w:rsidRPr="00B1264A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Վարչության  պետի տեղակալի  </w:t>
            </w:r>
            <w:r w:rsidR="00B1264A" w:rsidRPr="00B1264A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Վարչության  պետը կամ Վարչության գլխավոր տեսուչներից մեկը.</w:t>
            </w:r>
          </w:p>
          <w:p w:rsidR="00DE131B" w:rsidRPr="00E946BD" w:rsidRDefault="00DE131B" w:rsidP="008802B3">
            <w:pPr>
              <w:spacing w:after="0" w:line="240" w:lineRule="auto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  <w:r w:rsidRPr="00E946B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E946B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1E7342" w:rsidRPr="00867FD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Pr="00E946B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Pr="00E946BD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E946BD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  <w:p w:rsidR="00DE131B" w:rsidRPr="00E946BD" w:rsidRDefault="00D177C3" w:rsidP="008802B3">
            <w:pPr>
              <w:spacing w:after="0" w:line="240" w:lineRule="auto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25pt;margin-top:11.95pt;width:505.15pt;height:0;z-index:251658240" o:connectortype="straight"/>
              </w:pict>
            </w:r>
          </w:p>
          <w:p w:rsidR="00DE131B" w:rsidRPr="00E946BD" w:rsidRDefault="00DE131B" w:rsidP="008802B3">
            <w:pPr>
              <w:spacing w:after="0" w:line="240" w:lineRule="auto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DE131B" w:rsidRPr="00E946BD" w:rsidRDefault="00DE131B" w:rsidP="0080179F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DE131B" w:rsidRPr="00E946BD" w:rsidRDefault="00DE131B" w:rsidP="0080179F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նկատմամբ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իրականացման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անասնաբուժական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 նկատմամբ վերահսկողության իրականացման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օտարերկրյա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միջոցառումների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իրականացումը, ինչպես նաև կազմակերպում է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համագործակցության աշխատանքները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կազմակերպում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դրանց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իրականացումը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հանրապետության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 աշխատանքների իրականացում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>,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ինչպես նաև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տեղեկատվության տրամադր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>, օտարերկրյա պետությունների անասնահամաճարակային իրավիճակի վերլուծությ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աշխատանքների իրականացումը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հանրապետության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կազմակերպում է Տեսչական մարմնի 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ստացման, դրանց վերլուծության և ամփոփման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համակարգում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վերլուծության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խորհրդատվության տրամադրումը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պահվածքի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 վերահսկողության իրականացման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կազմակերպում է անասնաբուժական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 նկատմամբ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աշխատանքները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համակարգում է Հայաստանի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Վարչության  մասնակցությունը</w:t>
            </w:r>
            <w:r w:rsidRPr="00E946BD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մուտքագրումը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>,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 ամփոփումը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աշխատանքների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իրականացումը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համակարգում է Տեսչական մարմնի կողմից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 մասնակցությունը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ru-RU"/>
              </w:rPr>
              <w:t>համակարգում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ru-RU"/>
              </w:rPr>
              <w:t>է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ուսումնասիրություն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, դրա հիման վրա համապատասխան առաջարկությունների ներկայացում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ընդունելություն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համակարգում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է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յ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նախապատրասում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ru-RU"/>
              </w:rPr>
              <w:t>ը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1B5E7B" w:rsidRPr="00E946BD" w:rsidRDefault="001B5E7B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համակարգում է Հայաստանի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E946B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1B5E7B" w:rsidRPr="00E946BD" w:rsidRDefault="001B5E7B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համակարգում է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  <w:r w:rsidRPr="00E946B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B5E7B" w:rsidRPr="00E946BD" w:rsidRDefault="001B5E7B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համակարգում է անասնաբուժության բնագավառում Տեսչական մարմնի գործունեության վերաբերյալ ծրագրերի մշակման և իրականացման 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>աշխատանքներին Վարչության մասնակցության ապահովման աշխատանքները</w:t>
            </w:r>
            <w:r w:rsidRPr="00E946BD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1B5E7B" w:rsidRPr="00E946BD" w:rsidRDefault="001B5E7B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համակարգում է անասնաբուժության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E946BD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1B5E7B" w:rsidRPr="00D177C3" w:rsidRDefault="001B5E7B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համակարգում է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E946BD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E946BD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E946B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D177C3" w:rsidRPr="00D177C3" w:rsidRDefault="00D177C3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տնտեսական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միության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անդամ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երկրներին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177C3" w:rsidRPr="00E946BD" w:rsidRDefault="00D177C3" w:rsidP="001B5E7B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համակարգում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</w:p>
          <w:p w:rsidR="00DE131B" w:rsidRPr="00E946BD" w:rsidRDefault="00DE131B" w:rsidP="0080179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E946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DE131B" w:rsidRPr="00E946BD" w:rsidRDefault="00DE131B" w:rsidP="000016C0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պետին, ըստ անհրաժեշտության, ներկայացնել առաջարկություններ Վարչության  աշխատանքներին մասնագետներ, փորձագետներ, գիտական հաստատությունների ներկայացուցիչներ ներգրավելու վերաբերյալ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պետին, ըստ անհրաժեշտության, ներկայացնել առաջարկություններ աշխատանքային խմբեր կազմավորելու վերաբերյալ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946B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մասնագիտական կարծիքներ և առաջարկություններ.  </w:t>
            </w: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միջազգային կառույցների հետ համագործակցության աշխատանքներին, անասնաբուժության ոլորտի հարցերի, խնդիրների քննարկման նպատակով կազմակերպվող սեմինարներին, կոնֆերանսներին, խորհրդաժողովներին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մարմնի 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պահանջել անհրաժեշտ փաստաթղթեր,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հաշվետվություններ և այլ անհրաժեշտ </w:t>
            </w:r>
            <w:r w:rsidRPr="00E946BD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տեղեկատվությ</w:t>
            </w:r>
            <w:r w:rsidRPr="00E946BD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E131B" w:rsidRPr="00E946BD" w:rsidRDefault="00DE131B" w:rsidP="0080179F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DE131B" w:rsidRPr="00E946BD" w:rsidRDefault="00DE131B" w:rsidP="000016C0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ru-RU"/>
              </w:rPr>
            </w:pP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946BD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E53ECB">
              <w:rPr>
                <w:rFonts w:ascii="GHEA Grapalat" w:eastAsia="Sylfaen" w:hAnsi="GHEA Grapalat" w:cs="Sylfaen"/>
                <w:sz w:val="24"/>
                <w:lang w:val="ru-RU"/>
              </w:rPr>
              <w:t>, օրենսդրության բացերի, հակասությունների հայտնաբերման դեպքում ներկայացնել դրանց վերացմանն ուղղված առաջարկություններ</w:t>
            </w:r>
            <w:r w:rsidRPr="00E946B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E131B" w:rsidRPr="00E946BD" w:rsidRDefault="00084158" w:rsidP="000016C0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8415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,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</w:t>
            </w:r>
            <w:r w:rsidR="00DE131B" w:rsidRPr="00E946BD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արդյունքներ</w:t>
            </w:r>
            <w:r w:rsidRPr="0008415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ը </w:t>
            </w:r>
            <w:r w:rsidR="00DE131B" w:rsidRPr="00E946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 բացահայտված խախտումները վերացնելու նպատակով համապատասխան առաջարկություններ ներկայացնել Վարչության  պետին</w:t>
            </w:r>
            <w:r w:rsidR="00DE131B" w:rsidRPr="00E946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131B" w:rsidRPr="00E946BD" w:rsidRDefault="00DE131B" w:rsidP="000016C0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հետևել</w:t>
            </w: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հաշվառման, դրանց գործառնությունների և դրանց իրականացման տարածքների վերաբերյալ էլեկտրոնային տեղեկատվական շտեմարան վարման աշխատանքներին</w:t>
            </w:r>
            <w:r w:rsidRPr="00E946BD">
              <w:rPr>
                <w:rFonts w:ascii="Sylfaen" w:eastAsia="MS Mincho" w:hAnsi="Sylfaen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946B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անհրաժեշտության դեպքում, մեթոդական աջակցություն ցուցաբերել</w:t>
            </w:r>
            <w:r w:rsidRPr="00E946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B5E7B" w:rsidRPr="00E946BD" w:rsidRDefault="001B5E7B" w:rsidP="001B5E7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ուսումնասիրել, վերլուծել անասնաբուժության բնագավառում Տեսչական մարմնի վերահսկողության մոնիթորինգային գործունեության արդյունքները, </w:t>
            </w:r>
            <w:r w:rsidR="00084158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084158">
              <w:rPr>
                <w:rFonts w:ascii="GHEA Grapalat" w:hAnsi="GHEA Grapalat" w:cs="Sylfaen"/>
                <w:sz w:val="24"/>
                <w:szCs w:val="24"/>
                <w:lang w:val="hy-AM"/>
              </w:rPr>
              <w:t>բացթողումներ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>, օրենսդրության պահանջների խախտումներ հայտնաբերելու դեպքում Վարչության պետին ներկայացնել դրանց վերացմանն ուղղված գործողությունների վերաբերյալ առաջարկություններ.</w:t>
            </w:r>
          </w:p>
          <w:p w:rsidR="00DE131B" w:rsidRDefault="00DE131B" w:rsidP="000016C0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Վարչության  լիազորությունների շրջանակներում հաշվետվությունների, տեղեկանքների, միջնորդագրերի, զեկուցագրերի և այլ գրությունների նախապատրաստման աշխատանքներին, անհրաժեշտության դեպքում, ցուցաբերել </w:t>
            </w:r>
            <w:r w:rsidRPr="00E946B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մեթոդական օժանդակություն.</w:t>
            </w:r>
          </w:p>
          <w:p w:rsidR="00D177C3" w:rsidRPr="00D177C3" w:rsidRDefault="00D177C3" w:rsidP="000016C0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ամփոփել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կամ ուժեղացված լաբորատոր հսկողության ընթացքում հայտնաբերված խախտումների մասին Եվրասիական տնտեսական միության անդամ երկրներին սահմանված կարգով և ժամկետներում տեղեկատվության տրամադրման աշխատանքները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77C3" w:rsidRPr="00E946BD" w:rsidRDefault="00D177C3" w:rsidP="000016C0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ամփոփել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</w:p>
          <w:p w:rsidR="00DE131B" w:rsidRPr="00E946BD" w:rsidRDefault="00DE131B" w:rsidP="008802B3">
            <w:pPr>
              <w:spacing w:after="0" w:line="240" w:lineRule="auto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</w:p>
          <w:p w:rsidR="00DE131B" w:rsidRPr="00E946BD" w:rsidRDefault="00DE131B" w:rsidP="0080179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3.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</w:t>
            </w:r>
            <w:bookmarkStart w:id="0" w:name="_GoBack"/>
            <w:bookmarkEnd w:id="0"/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ին</w:t>
            </w: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E131B" w:rsidRPr="00271486" w:rsidRDefault="00DE131B" w:rsidP="001B5E7B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E946B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065EC" w:rsidRPr="00271486" w:rsidRDefault="00C065EC" w:rsidP="001B5E7B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2301"/>
              <w:gridCol w:w="7260"/>
            </w:tblGrid>
            <w:tr w:rsidR="00DE131B" w:rsidRPr="00E946BD" w:rsidTr="00C065EC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31B" w:rsidRPr="00E946BD" w:rsidRDefault="00DE131B" w:rsidP="007866FE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E946BD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31B" w:rsidRPr="00E946BD" w:rsidRDefault="00DE131B" w:rsidP="007866FE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E946BD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31B" w:rsidRPr="00E946BD" w:rsidRDefault="00DE131B" w:rsidP="007866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E946BD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065EC" w:rsidRDefault="00C065EC" w:rsidP="00C065E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</w:rPr>
            </w:pPr>
          </w:p>
          <w:p w:rsidR="00DE131B" w:rsidRPr="00E946BD" w:rsidRDefault="00DE131B" w:rsidP="00C065EC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lang w:val="hy-AM"/>
              </w:rPr>
            </w:pPr>
            <w:r w:rsidRPr="00E946B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946BD">
              <w:rPr>
                <w:rFonts w:ascii="GHEA Grapalat" w:hAnsi="GHEA Grapalat"/>
                <w:lang w:val="hy-AM"/>
              </w:rPr>
              <w:br/>
            </w:r>
            <w:r w:rsidRPr="00E946BD">
              <w:rPr>
                <w:rFonts w:ascii="GHEA Grapalat" w:hAnsi="GHEA Grapalat" w:cs="Sylfaen"/>
                <w:lang w:val="hy-AM"/>
              </w:rPr>
              <w:t>Ունի</w:t>
            </w:r>
            <w:r w:rsidRPr="00E946BD">
              <w:rPr>
                <w:rFonts w:ascii="GHEA Grapalat" w:hAnsi="GHEA Grapalat"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946BD">
              <w:rPr>
                <w:rFonts w:ascii="GHEA Grapalat" w:hAnsi="GHEA Grapalat"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lang w:val="hy-AM"/>
              </w:rPr>
              <w:t>իրականացման</w:t>
            </w:r>
            <w:r w:rsidRPr="00E946BD">
              <w:rPr>
                <w:rFonts w:ascii="GHEA Grapalat" w:hAnsi="GHEA Grapalat"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lang w:val="hy-AM"/>
              </w:rPr>
              <w:t>համար</w:t>
            </w:r>
            <w:r w:rsidRPr="00E946BD">
              <w:rPr>
                <w:rFonts w:ascii="GHEA Grapalat" w:hAnsi="GHEA Grapalat"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lang w:val="hy-AM"/>
              </w:rPr>
              <w:t>անհրաժեշտ</w:t>
            </w:r>
            <w:r w:rsidRPr="00E946BD">
              <w:rPr>
                <w:rFonts w:ascii="GHEA Grapalat" w:hAnsi="GHEA Grapalat"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lang w:val="hy-AM"/>
              </w:rPr>
              <w:t>գիտելիքներ</w:t>
            </w:r>
            <w:r w:rsidRPr="00E946BD">
              <w:rPr>
                <w:rFonts w:ascii="GHEA Grapalat" w:hAnsi="GHEA Grapalat"/>
                <w:lang w:val="hy-AM"/>
              </w:rPr>
              <w:br/>
            </w:r>
            <w:r w:rsidRPr="00E946BD">
              <w:rPr>
                <w:rFonts w:ascii="GHEA Grapalat" w:hAnsi="GHEA Grapalat"/>
                <w:b/>
                <w:lang w:val="hy-AM"/>
              </w:rPr>
              <w:t>3.3.</w:t>
            </w:r>
            <w:r w:rsidRPr="00E946B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E946BD">
              <w:rPr>
                <w:rFonts w:ascii="GHEA Grapalat" w:hAnsi="GHEA Grapalat"/>
                <w:lang w:val="hy-AM"/>
              </w:rPr>
              <w:br/>
            </w:r>
            <w:r w:rsidRPr="00E946B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երեք տարվա ստաժ կամ </w:t>
            </w:r>
            <w:r w:rsidR="00805213" w:rsidRPr="00805213">
              <w:rPr>
                <w:rFonts w:ascii="GHEA Grapalat" w:hAnsi="GHEA Grapalat" w:cs="Sylfaen"/>
                <w:lang w:val="hy-AM"/>
              </w:rPr>
              <w:t xml:space="preserve">չորս </w:t>
            </w:r>
            <w:r w:rsidRPr="00E946B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</w:t>
            </w:r>
            <w:r w:rsidR="00084158" w:rsidRPr="0008415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B5A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CB5AFA" w:rsidRPr="008401E9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CB5AFA">
              <w:rPr>
                <w:rFonts w:ascii="GHEA Grapalat" w:hAnsi="GHEA Grapalat" w:cs="Sylfaen"/>
                <w:lang w:val="hy-AM"/>
              </w:rPr>
              <w:t>գյուղատնտե</w:t>
            </w:r>
            <w:r w:rsidR="00CB5AFA" w:rsidRPr="008401E9">
              <w:rPr>
                <w:rFonts w:ascii="GHEA Grapalat" w:hAnsi="GHEA Grapalat" w:cs="Sylfaen"/>
                <w:lang w:val="hy-AM"/>
              </w:rPr>
              <w:t xml:space="preserve">սության </w:t>
            </w:r>
            <w:r w:rsidR="00CB5AFA" w:rsidRPr="009C1745">
              <w:rPr>
                <w:rFonts w:ascii="GHEA Grapalat" w:hAnsi="GHEA Grapalat" w:cs="Sylfaen"/>
                <w:lang w:val="hy-AM"/>
              </w:rPr>
              <w:t xml:space="preserve">կամ առողջապահության կամ ստուգումների կազմակերպման </w:t>
            </w:r>
            <w:r w:rsidR="00CB5AFA" w:rsidRPr="008401E9">
              <w:rPr>
                <w:rFonts w:ascii="GHEA Grapalat" w:hAnsi="GHEA Grapalat" w:cs="Sylfaen"/>
                <w:lang w:val="hy-AM"/>
              </w:rPr>
              <w:t xml:space="preserve">և </w:t>
            </w:r>
            <w:r w:rsidR="00CB5AFA" w:rsidRPr="009C1745">
              <w:rPr>
                <w:rFonts w:ascii="GHEA Grapalat" w:hAnsi="GHEA Grapalat" w:cs="Sylfaen"/>
                <w:lang w:val="hy-AM"/>
              </w:rPr>
              <w:t xml:space="preserve">անցկացման բնագավառում կամ </w:t>
            </w:r>
            <w:r w:rsidR="00CB5AFA" w:rsidRPr="00431D61">
              <w:rPr>
                <w:rFonts w:ascii="GHEA Grapalat" w:hAnsi="GHEA Grapalat"/>
                <w:bCs/>
                <w:lang w:val="hy-AM"/>
              </w:rPr>
              <w:t xml:space="preserve">պետական </w:t>
            </w:r>
            <w:r w:rsidR="00CB5AFA">
              <w:rPr>
                <w:rFonts w:ascii="GHEA Grapalat" w:hAnsi="GHEA Grapalat"/>
                <w:bCs/>
                <w:lang w:val="hy-AM"/>
              </w:rPr>
              <w:t>կազմակերպությունների և հիմնարկների ղեկավարման</w:t>
            </w:r>
            <w:r w:rsidRPr="00E946BD">
              <w:rPr>
                <w:rFonts w:ascii="GHEA Grapalat" w:hAnsi="GHEA Grapalat" w:cs="Sylfaen"/>
                <w:lang w:val="hy-AM"/>
              </w:rPr>
              <w:t xml:space="preserve">` </w:t>
            </w:r>
            <w:r w:rsidR="00805213" w:rsidRPr="00805213">
              <w:rPr>
                <w:rFonts w:ascii="GHEA Grapalat" w:hAnsi="GHEA Grapalat" w:cs="Sylfaen"/>
                <w:lang w:val="hy-AM"/>
              </w:rPr>
              <w:t xml:space="preserve">չորս </w:t>
            </w:r>
            <w:r w:rsidRPr="00E946B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E946B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E946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946BD">
              <w:rPr>
                <w:rFonts w:ascii="GHEA Grapalat" w:hAnsi="GHEA Grapalat" w:cs="Sylfaen"/>
                <w:b/>
                <w:lang w:val="hy-AM"/>
              </w:rPr>
              <w:t xml:space="preserve">կոմպետենցիաներ </w:t>
            </w:r>
          </w:p>
          <w:p w:rsidR="00DE131B" w:rsidRPr="00E946BD" w:rsidRDefault="00DE131B" w:rsidP="0080179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E946B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E946B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DE131B" w:rsidRPr="00E946BD" w:rsidRDefault="00DE131B" w:rsidP="0080179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DE131B" w:rsidRPr="00E946BD" w:rsidRDefault="00DE131B" w:rsidP="0080179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E946B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DE131B" w:rsidRPr="00E946BD" w:rsidRDefault="00DE131B" w:rsidP="0080179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DE131B" w:rsidRPr="001E7342" w:rsidRDefault="00DE131B" w:rsidP="001E734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946BD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31B" w:rsidRPr="00E946BD" w:rsidRDefault="00DE131B" w:rsidP="008802B3">
            <w:pPr>
              <w:spacing w:after="0" w:line="240" w:lineRule="auto"/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</w:pPr>
          </w:p>
        </w:tc>
      </w:tr>
      <w:tr w:rsidR="003C5E15" w:rsidRPr="003C5E15" w:rsidTr="0080179F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946BD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E946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56E4A" w:rsidRPr="00E946BD" w:rsidRDefault="00856E4A" w:rsidP="001A469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1A4692" w:rsidRPr="00E946BD" w:rsidRDefault="00856E4A" w:rsidP="001A469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  <w:r w:rsidR="001A4692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856E4A" w:rsidRPr="00E946BD" w:rsidRDefault="00856E4A" w:rsidP="001A469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856E4A" w:rsidRPr="00E946BD" w:rsidRDefault="00856E4A" w:rsidP="001A469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856E4A" w:rsidRPr="00E946BD" w:rsidRDefault="00856E4A" w:rsidP="001A469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4.3. Գործունեության ազդեցություն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741B59" w:rsidRDefault="00741B59" w:rsidP="001A4692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ազդեցություն:</w:t>
            </w:r>
          </w:p>
          <w:p w:rsidR="001A4692" w:rsidRPr="00E946BD" w:rsidRDefault="00856E4A" w:rsidP="001A4692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946BD">
              <w:rPr>
                <w:rFonts w:ascii="GHEA Grapalat" w:hAnsi="GHEA Grapalat"/>
                <w:b/>
                <w:sz w:val="24"/>
                <w:szCs w:val="24"/>
              </w:rPr>
              <w:t xml:space="preserve">4.4. 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Շփումներ և ներկայացուցչություն</w:t>
            </w: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="001A4692"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</w:p>
          <w:p w:rsidR="001A4692" w:rsidRPr="00E946BD" w:rsidRDefault="000E74D1" w:rsidP="001A469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Շփվում և որպես ներկայացուցիչ հանդես է գալիս </w:t>
            </w:r>
            <w:r w:rsidR="00741B5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տվյալ մարմնի, այլ </w:t>
            </w: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</w:t>
            </w:r>
            <w:r w:rsidR="00741B5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իր իրավասությունների շրջանակներում</w:t>
            </w:r>
            <w:r w:rsidRPr="00E946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56E4A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856E4A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856E4A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856E4A" w:rsidRPr="00E946BD">
              <w:rPr>
                <w:rFonts w:ascii="GHEA Grapalat" w:hAnsi="GHEA Grapalat"/>
                <w:sz w:val="24"/>
                <w:szCs w:val="24"/>
              </w:rPr>
              <w:tab/>
            </w:r>
            <w:r w:rsidR="00856E4A" w:rsidRPr="00E946BD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856E4A" w:rsidRPr="00E946BD" w:rsidRDefault="00856E4A" w:rsidP="001A469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946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4.5. Խնդիրների բարդությունը և դրանց լուծումը</w:t>
            </w:r>
            <w:r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  <w:r w:rsidRPr="00E946BD">
              <w:rPr>
                <w:rFonts w:ascii="GHEA Grapalat" w:hAnsi="GHEA Grapalat"/>
                <w:b/>
                <w:sz w:val="24"/>
                <w:szCs w:val="24"/>
              </w:rPr>
              <w:tab/>
            </w:r>
          </w:p>
          <w:p w:rsidR="000E74D1" w:rsidRPr="000E74D1" w:rsidRDefault="000E74D1" w:rsidP="000E74D1">
            <w:pPr>
              <w:pStyle w:val="NormalWeb"/>
              <w:jc w:val="both"/>
              <w:rPr>
                <w:rFonts w:ascii="GHEA Grapalat" w:hAnsi="GHEA Grapalat"/>
                <w:color w:val="000000"/>
              </w:rPr>
            </w:pPr>
            <w:r w:rsidRPr="00E946BD">
              <w:rPr>
                <w:rFonts w:ascii="GHEA Grapalat" w:hAnsi="GHEA Grapalat"/>
                <w:color w:val="000000"/>
              </w:rPr>
              <w:t xml:space="preserve">Իր լիազորությունների շրջանակներում բացահայտում, վերլուծում և գնահատում է իր կողմից </w:t>
            </w:r>
            <w:r w:rsidR="00741B59">
              <w:rPr>
                <w:rFonts w:ascii="GHEA Grapalat" w:hAnsi="GHEA Grapalat"/>
                <w:color w:val="000000"/>
              </w:rPr>
              <w:t xml:space="preserve">ղեկավարվող </w:t>
            </w:r>
            <w:r w:rsidRPr="00E946BD">
              <w:rPr>
                <w:rFonts w:ascii="GHEA Grapalat" w:hAnsi="GHEA Grapalat"/>
                <w:color w:val="000000"/>
              </w:rPr>
              <w:t xml:space="preserve">կառուցվածքային ստորաբաժանման </w:t>
            </w:r>
            <w:r w:rsidR="00741B59">
              <w:rPr>
                <w:rFonts w:ascii="GHEA Grapalat" w:hAnsi="GHEA Grapalat"/>
                <w:color w:val="000000"/>
              </w:rPr>
              <w:t xml:space="preserve">գործառույթներից բխող </w:t>
            </w:r>
            <w:r w:rsidRPr="00E946BD">
              <w:rPr>
                <w:rFonts w:ascii="GHEA Grapalat" w:hAnsi="GHEA Grapalat"/>
                <w:color w:val="000000"/>
              </w:rPr>
              <w:t>խնդիրները և դրանց տալիս լուծումներ։</w:t>
            </w:r>
          </w:p>
          <w:p w:rsidR="003C5E15" w:rsidRPr="003C5E15" w:rsidRDefault="003C5E15" w:rsidP="001A469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1859CD" w:rsidRPr="00D45F52" w:rsidRDefault="001859CD" w:rsidP="00E23E3E">
      <w:pPr>
        <w:rPr>
          <w:rFonts w:ascii="GHEA Grapalat" w:hAnsi="GHEA Grapalat"/>
        </w:rPr>
      </w:pPr>
    </w:p>
    <w:sectPr w:rsidR="001859CD" w:rsidRPr="00D45F52" w:rsidSect="00003DD3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594EAA"/>
    <w:multiLevelType w:val="hybridMultilevel"/>
    <w:tmpl w:val="41A8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14E"/>
    <w:multiLevelType w:val="hybridMultilevel"/>
    <w:tmpl w:val="00004338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3A3D06"/>
    <w:multiLevelType w:val="hybridMultilevel"/>
    <w:tmpl w:val="A466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E113B"/>
    <w:multiLevelType w:val="hybridMultilevel"/>
    <w:tmpl w:val="82489E62"/>
    <w:lvl w:ilvl="0" w:tplc="3BAA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9"/>
  </w:num>
  <w:num w:numId="7">
    <w:abstractNumId w:val="16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16C0"/>
    <w:rsid w:val="00003DD3"/>
    <w:rsid w:val="000203EC"/>
    <w:rsid w:val="000352C8"/>
    <w:rsid w:val="000438DA"/>
    <w:rsid w:val="00056169"/>
    <w:rsid w:val="00072753"/>
    <w:rsid w:val="00084158"/>
    <w:rsid w:val="00084C9F"/>
    <w:rsid w:val="000C36A6"/>
    <w:rsid w:val="000E74D1"/>
    <w:rsid w:val="0010100C"/>
    <w:rsid w:val="00107823"/>
    <w:rsid w:val="00113C7C"/>
    <w:rsid w:val="00122F8F"/>
    <w:rsid w:val="00143524"/>
    <w:rsid w:val="00156A56"/>
    <w:rsid w:val="00156F9D"/>
    <w:rsid w:val="00171B3B"/>
    <w:rsid w:val="00184D27"/>
    <w:rsid w:val="001859CD"/>
    <w:rsid w:val="001A4692"/>
    <w:rsid w:val="001B5E7B"/>
    <w:rsid w:val="001C059B"/>
    <w:rsid w:val="001E7342"/>
    <w:rsid w:val="001F5027"/>
    <w:rsid w:val="002357A1"/>
    <w:rsid w:val="00251AF0"/>
    <w:rsid w:val="00267FFB"/>
    <w:rsid w:val="00271486"/>
    <w:rsid w:val="002C424E"/>
    <w:rsid w:val="002E2AF9"/>
    <w:rsid w:val="00317CA3"/>
    <w:rsid w:val="00334754"/>
    <w:rsid w:val="00343519"/>
    <w:rsid w:val="00361376"/>
    <w:rsid w:val="00380002"/>
    <w:rsid w:val="003C5E15"/>
    <w:rsid w:val="003D1668"/>
    <w:rsid w:val="00407C16"/>
    <w:rsid w:val="00411E7F"/>
    <w:rsid w:val="00425257"/>
    <w:rsid w:val="0043050E"/>
    <w:rsid w:val="00430641"/>
    <w:rsid w:val="004973F5"/>
    <w:rsid w:val="0049783D"/>
    <w:rsid w:val="004A2807"/>
    <w:rsid w:val="004E1233"/>
    <w:rsid w:val="004E48C0"/>
    <w:rsid w:val="004F182B"/>
    <w:rsid w:val="00504CE0"/>
    <w:rsid w:val="00515ED5"/>
    <w:rsid w:val="00531B09"/>
    <w:rsid w:val="0055202A"/>
    <w:rsid w:val="00554281"/>
    <w:rsid w:val="0056483E"/>
    <w:rsid w:val="005800AA"/>
    <w:rsid w:val="00582658"/>
    <w:rsid w:val="005A26F2"/>
    <w:rsid w:val="005C3275"/>
    <w:rsid w:val="005E646E"/>
    <w:rsid w:val="00624A4D"/>
    <w:rsid w:val="006528B2"/>
    <w:rsid w:val="00683747"/>
    <w:rsid w:val="006A3DCF"/>
    <w:rsid w:val="006A3E25"/>
    <w:rsid w:val="006A54A3"/>
    <w:rsid w:val="006B1D27"/>
    <w:rsid w:val="00741B59"/>
    <w:rsid w:val="00746453"/>
    <w:rsid w:val="00752728"/>
    <w:rsid w:val="00775518"/>
    <w:rsid w:val="00776A6A"/>
    <w:rsid w:val="007A14F0"/>
    <w:rsid w:val="007B1C1E"/>
    <w:rsid w:val="007C5CD9"/>
    <w:rsid w:val="007D607D"/>
    <w:rsid w:val="007F3364"/>
    <w:rsid w:val="007F3780"/>
    <w:rsid w:val="0080179F"/>
    <w:rsid w:val="00802C83"/>
    <w:rsid w:val="00805213"/>
    <w:rsid w:val="00856E4A"/>
    <w:rsid w:val="00867FD5"/>
    <w:rsid w:val="008802B3"/>
    <w:rsid w:val="00893785"/>
    <w:rsid w:val="008C3524"/>
    <w:rsid w:val="008C7304"/>
    <w:rsid w:val="008E5ADA"/>
    <w:rsid w:val="008E696F"/>
    <w:rsid w:val="008F5108"/>
    <w:rsid w:val="009248A6"/>
    <w:rsid w:val="009A6B78"/>
    <w:rsid w:val="009D0775"/>
    <w:rsid w:val="009F3ED2"/>
    <w:rsid w:val="00A30269"/>
    <w:rsid w:val="00A47B7E"/>
    <w:rsid w:val="00AA4C3B"/>
    <w:rsid w:val="00AB04E9"/>
    <w:rsid w:val="00AE2B84"/>
    <w:rsid w:val="00B1264A"/>
    <w:rsid w:val="00B17A52"/>
    <w:rsid w:val="00B30D6E"/>
    <w:rsid w:val="00B3332A"/>
    <w:rsid w:val="00B33811"/>
    <w:rsid w:val="00B674BF"/>
    <w:rsid w:val="00B677A7"/>
    <w:rsid w:val="00BA648C"/>
    <w:rsid w:val="00BC2567"/>
    <w:rsid w:val="00BC7610"/>
    <w:rsid w:val="00BD33B2"/>
    <w:rsid w:val="00BE09F1"/>
    <w:rsid w:val="00BF0D2C"/>
    <w:rsid w:val="00C065EC"/>
    <w:rsid w:val="00C179D4"/>
    <w:rsid w:val="00C21983"/>
    <w:rsid w:val="00C26ACD"/>
    <w:rsid w:val="00C301E5"/>
    <w:rsid w:val="00C45438"/>
    <w:rsid w:val="00C61C6B"/>
    <w:rsid w:val="00C772EE"/>
    <w:rsid w:val="00C9375E"/>
    <w:rsid w:val="00CB4E34"/>
    <w:rsid w:val="00CB5AFA"/>
    <w:rsid w:val="00CC25F1"/>
    <w:rsid w:val="00CC37A1"/>
    <w:rsid w:val="00CD1366"/>
    <w:rsid w:val="00CE2EA0"/>
    <w:rsid w:val="00CE633A"/>
    <w:rsid w:val="00CF230B"/>
    <w:rsid w:val="00D160D0"/>
    <w:rsid w:val="00D177C3"/>
    <w:rsid w:val="00D17BF4"/>
    <w:rsid w:val="00D25256"/>
    <w:rsid w:val="00D42C9A"/>
    <w:rsid w:val="00D4390F"/>
    <w:rsid w:val="00D45F52"/>
    <w:rsid w:val="00D506FE"/>
    <w:rsid w:val="00D94973"/>
    <w:rsid w:val="00DC29D8"/>
    <w:rsid w:val="00DC5D33"/>
    <w:rsid w:val="00DE131B"/>
    <w:rsid w:val="00E2272E"/>
    <w:rsid w:val="00E23E3E"/>
    <w:rsid w:val="00E46A55"/>
    <w:rsid w:val="00E53ECB"/>
    <w:rsid w:val="00E64B41"/>
    <w:rsid w:val="00E72386"/>
    <w:rsid w:val="00E946BD"/>
    <w:rsid w:val="00EA1FCE"/>
    <w:rsid w:val="00ED684C"/>
    <w:rsid w:val="00ED6921"/>
    <w:rsid w:val="00F0414E"/>
    <w:rsid w:val="00F14BA0"/>
    <w:rsid w:val="00F153B7"/>
    <w:rsid w:val="00F45F9E"/>
    <w:rsid w:val="00F467ED"/>
    <w:rsid w:val="00F55B09"/>
    <w:rsid w:val="00F6352B"/>
    <w:rsid w:val="00FA59A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59D330"/>
  <w15:docId w15:val="{2985468D-CC8F-404C-A793-07871A89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A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2CD0-29D3-45E5-B828-A6D23241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50</cp:revision>
  <cp:lastPrinted>2019-03-13T08:19:00Z</cp:lastPrinted>
  <dcterms:created xsi:type="dcterms:W3CDTF">2019-11-18T07:41:00Z</dcterms:created>
  <dcterms:modified xsi:type="dcterms:W3CDTF">2024-09-18T07:23:00Z</dcterms:modified>
</cp:coreProperties>
</file>