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D3" w:rsidRPr="00E946BD" w:rsidRDefault="003C5E15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="00003DD3" w:rsidRPr="00E946B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003DD3" w:rsidRPr="00E946BD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E5E6A">
        <w:rPr>
          <w:rFonts w:ascii="GHEA Grapalat" w:eastAsia="Times New Roman" w:hAnsi="GHEA Grapalat" w:cs="Sylfaen"/>
          <w:sz w:val="16"/>
          <w:szCs w:val="16"/>
          <w:lang w:val="ru-RU"/>
        </w:rPr>
        <w:t>11</w:t>
      </w:r>
      <w:r w:rsidR="00003DD3" w:rsidRPr="00E946BD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003DD3" w:rsidRPr="00E946BD" w:rsidRDefault="00003DD3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946BD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946BD">
        <w:rPr>
          <w:rFonts w:ascii="GHEA Grapalat" w:eastAsia="Times New Roman" w:hAnsi="GHEA Grapalat" w:cs="Sylfaen"/>
          <w:sz w:val="16"/>
          <w:szCs w:val="16"/>
        </w:rPr>
        <w:t>է</w:t>
      </w:r>
    </w:p>
    <w:p w:rsidR="00003DD3" w:rsidRPr="00E946BD" w:rsidRDefault="00003DD3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946B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003DD3" w:rsidRPr="00E946BD" w:rsidRDefault="00003DD3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946BD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946B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EE5E6A" w:rsidRDefault="003E3F61" w:rsidP="00EE5E6A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EE5E6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EE5E6A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946BD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E3F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0C36A6" w:rsidRPr="00E946BD" w:rsidRDefault="000C36A6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E946BD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67FFB"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8C7304"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ՉՈՒԹՅԱՆ ՊԵՏ</w:t>
      </w:r>
      <w:r w:rsidR="00056169"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 ՏԵՂԱԿԱԼ</w:t>
      </w:r>
    </w:p>
    <w:p w:rsidR="00113C7C" w:rsidRPr="00E946BD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946BD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01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  <w:gridCol w:w="36"/>
      </w:tblGrid>
      <w:tr w:rsidR="003C5E15" w:rsidRPr="00E946BD" w:rsidTr="0080179F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946BD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E946B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DE131B" w:rsidRPr="00E946BD" w:rsidTr="00F24829">
        <w:trPr>
          <w:trHeight w:val="26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31B" w:rsidRPr="00E946BD" w:rsidRDefault="00DE131B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B5E7B"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արչության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 տեղակալ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Pr="00E946B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E946BD">
              <w:rPr>
                <w:rFonts w:ascii="GHEA Grapalat" w:hAnsi="GHEA Grapalat"/>
                <w:sz w:val="24"/>
                <w:szCs w:val="24"/>
              </w:rPr>
              <w:t>.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E946BD">
              <w:rPr>
                <w:rFonts w:ascii="GHEA Grapalat" w:hAnsi="GHEA Grapalat"/>
                <w:sz w:val="24"/>
                <w:szCs w:val="24"/>
              </w:rPr>
              <w:t>-Ղ</w:t>
            </w:r>
            <w:r w:rsidR="00084158">
              <w:rPr>
                <w:rFonts w:ascii="GHEA Grapalat" w:hAnsi="GHEA Grapalat"/>
                <w:sz w:val="24"/>
                <w:szCs w:val="24"/>
              </w:rPr>
              <w:t>4</w:t>
            </w:r>
            <w:r w:rsidR="00AB1E21">
              <w:rPr>
                <w:rFonts w:ascii="GHEA Grapalat" w:hAnsi="GHEA Grapalat"/>
                <w:sz w:val="24"/>
                <w:szCs w:val="24"/>
              </w:rPr>
              <w:t>-</w:t>
            </w:r>
            <w:r w:rsidR="00AB1E21" w:rsidRPr="00AB1E21">
              <w:rPr>
                <w:rFonts w:ascii="GHEA Grapalat" w:hAnsi="GHEA Grapalat"/>
                <w:sz w:val="24"/>
                <w:szCs w:val="24"/>
              </w:rPr>
              <w:t>2</w:t>
            </w:r>
            <w:r w:rsidRPr="00E946BD">
              <w:rPr>
                <w:rFonts w:ascii="GHEA Grapalat" w:hAnsi="GHEA Grapalat"/>
                <w:sz w:val="24"/>
                <w:szCs w:val="24"/>
              </w:rPr>
              <w:t>)</w:t>
            </w:r>
            <w:r w:rsidRPr="00E946B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DE131B" w:rsidRPr="00E946BD" w:rsidRDefault="00DE131B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Վարչության </w:t>
            </w:r>
            <w:r w:rsidRPr="00E946B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 տեղակալն անմիջական ենթակա  և հաշվետու է Վարչության  պետին. </w:t>
            </w:r>
            <w:r w:rsidRPr="00E946B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Վարչության  պետի տեղակալը ենթակա և հաշվետու</w:t>
            </w:r>
            <w:r w:rsidRPr="00E946BD">
              <w:rPr>
                <w:rFonts w:ascii="GHEA Grapalat" w:hAnsi="GHEA Grapalat"/>
                <w:sz w:val="24"/>
                <w:lang w:val="hy-AM"/>
              </w:rPr>
              <w:t xml:space="preserve"> աշխատողներ չունի</w:t>
            </w:r>
            <w:r w:rsidRPr="00E946BD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DE131B" w:rsidRPr="00E946BD" w:rsidRDefault="00DE131B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Վարչության  պետի տեղակալի  </w:t>
            </w:r>
            <w:r w:rsidRPr="00E946B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Վարչության  պետը կամ Վարչության պետի </w:t>
            </w:r>
            <w:r w:rsidR="00AB1E21" w:rsidRPr="00AB1E2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E946BD">
              <w:rPr>
                <w:rFonts w:ascii="GHEA Grapalat" w:hAnsi="GHEA Grapalat"/>
                <w:sz w:val="24"/>
                <w:lang w:val="hy-AM"/>
              </w:rPr>
              <w:t xml:space="preserve">տեղակալը կամ Վարչության գլխավոր </w:t>
            </w:r>
            <w:r w:rsidR="00805213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E946BD">
              <w:rPr>
                <w:rFonts w:ascii="GHEA Grapalat" w:hAnsi="GHEA Grapalat"/>
                <w:sz w:val="24"/>
                <w:lang w:val="hy-AM"/>
              </w:rPr>
              <w:t>ը</w:t>
            </w:r>
            <w:r w:rsidRPr="00E946BD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1E7342" w:rsidRPr="00867FD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Pr="00E946BD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  <w:p w:rsidR="00DE131B" w:rsidRPr="00E946BD" w:rsidRDefault="003E3F61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25pt;margin-top:11.95pt;width:505.15pt;height:0;z-index:251658240" o:connectortype="straight"/>
              </w:pict>
            </w:r>
          </w:p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DE131B" w:rsidRPr="00E946BD" w:rsidRDefault="00DE131B" w:rsidP="0080179F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DE131B" w:rsidRPr="00E946BD" w:rsidRDefault="00DE131B" w:rsidP="0080179F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նկատմամբ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 նկատմամբ վերահսկողության 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օտարերկրյա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իրականացումը, ինչպես նաև կազմակերպում է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համագործակցության աշխատանքները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կազմակերպում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դրանց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հանրապետության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 աշխատանքների իրականացում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ինչպես նաև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տեղեկատվության տրամադր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, օտարերկրյա պետությունների անասնահամաճարակային իրավիճակի վերլուծությ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աշխատանքների իրականացումը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հանրապետության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Տեսչական մարմնի 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ստացման, դրանց վերլուծության և ամփոփման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համակարգում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վերլուծության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խորհրդատվության տրամադրումը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անասնաբուժասանիտարական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 վերահսկողության 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 նկատմամբ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համակարգում է Հայաստանի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Վարչության  մասնակցությունը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մուտքագրումը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ամփոփումը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իրականացումը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համակարգում է Տեսչական մարմնի կողմից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 մասնակցությունը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ru-RU"/>
              </w:rPr>
              <w:t>համակարգում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ru-RU"/>
              </w:rPr>
              <w:t>է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ուսումնասիրություն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, դրա հիման վրա համապատասխան առաջարկությունների ներկայացում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ընդունելություն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համակարգում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է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յ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նախապատրասում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համակարգում է Հայաստանի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համակարգում է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համակարգում է անասնաբուժության բնագավառում Տեսչական մարմնի գործունեության վերաբերյալ ծրագրերի մշակման և իրականացման աշխատանքներին Վարչության մասնակցության ապահովման աշխատանքները</w:t>
            </w:r>
            <w:r w:rsidRPr="00E946BD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համակարգում է անասնաբուժության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վերահսկողության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E946BD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յան ցուցաբերման աշխատանքները.</w:t>
            </w:r>
          </w:p>
          <w:p w:rsidR="00DE131B" w:rsidRPr="00E946BD" w:rsidRDefault="00DE131B" w:rsidP="0080179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DE131B" w:rsidRPr="00E946BD" w:rsidRDefault="00DE131B" w:rsidP="000016C0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պետին, ըստ անհրաժեշտության, ներկայացնել առաջարկություններ Վարչության  աշխատանքներին մասնագետներ, փորձագետներ, գիտական հաստատությունների ներկայացուցիչներ ներգրավելու վերաբերյալ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պետին, ըստ անհրաժեշտության, ներկայացնել առաջարկություններ աշխատանքային խմբեր կազմավորելու վերաբերյալ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միջազգային կառույցների հետ համագործակցության աշխատանքներին, անասնաբուժության ոլորտի հարցերի, խնդիրների քննարկման նպատակով կազմակերպվող սեմինարներին, կոնֆերանսներին, խորհրդաժողովներին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 մարմնի 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պահանջել անհրաժեշտ փաստաթղթեր,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հաշվետվություններ և այլ անհրաժեշտ 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E131B" w:rsidRPr="00E946BD" w:rsidRDefault="00DE131B" w:rsidP="0080179F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DE131B" w:rsidRPr="00E946BD" w:rsidRDefault="00DE131B" w:rsidP="000016C0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ru-RU"/>
              </w:rPr>
            </w:pP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E53ECB">
              <w:rPr>
                <w:rFonts w:ascii="GHEA Grapalat" w:eastAsia="Sylfaen" w:hAnsi="GHEA Grapalat" w:cs="Sylfaen"/>
                <w:sz w:val="24"/>
                <w:lang w:val="ru-RU"/>
              </w:rPr>
              <w:t>, օրենսդրության բացերի, հակասությունների հայտնաբերման դեպքում ներկայացնել դրանց վերացմանն ուղղված առաջարկություններ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E131B" w:rsidRPr="00E946BD" w:rsidRDefault="00084158" w:rsidP="000016C0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415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գործունեության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արդյունքներ</w:t>
            </w:r>
            <w:r w:rsidRPr="0008415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ը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 բացահայտված խախտումները վերացնելու նպատակով համապատասխան առաջարկություններ ներկայացնել Վարչության  պետին</w:t>
            </w:r>
            <w:r w:rsidR="00DE131B"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հետևել</w:t>
            </w:r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հաշվառման, դրանց գործառնությունների և դրանց իրականացման տարածքների վերաբերյալ էլեկտրոնային տեղեկատվական շտեմարան վարման աշխատանքներին</w:t>
            </w:r>
            <w:r w:rsidRPr="00E946BD">
              <w:rPr>
                <w:rFonts w:ascii="Sylfaen" w:eastAsia="MS Mincho" w:hAnsi="Sylfaen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946BD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անհրաժեշտության դեպքում, մեթոդական աջակցություն ցուցաբերել</w:t>
            </w:r>
            <w:r w:rsidRPr="00E946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ուսումնասիրել, վերլուծել անասնաբուժության բնագավառում Տեսչական մարմնի վերահսկողության մոնիթորինգային գործունեության արդյունքները, </w:t>
            </w:r>
            <w:r w:rsidR="00084158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084158">
              <w:rPr>
                <w:rFonts w:ascii="GHEA Grapalat" w:hAnsi="GHEA Grapalat" w:cs="Sylfaen"/>
                <w:sz w:val="24"/>
                <w:szCs w:val="24"/>
                <w:lang w:val="hy-AM"/>
              </w:rPr>
              <w:t>բացթողումներ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, օրենսդրության պահանջների խախտումներ հայտնաբերելու դեպքում Վարչության պետին ներկայացնել դրանց վերացմանն ուղղված գործողությունների վերաբերյալ առաջարկություններ.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 Վարչության  լիազորությունների շրջանակներում հաշվետվությունների, տեղեկանքների, միջնորդագրերի, զեկուցագրերի և այլ գրությունների նախապատրաստման աշխատանքներին, անհրաժեշտության դեպքում, ցուցաբերել մեթոդական օժանդակություն.</w:t>
            </w:r>
          </w:p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3.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E131B" w:rsidRPr="007B17C0" w:rsidRDefault="00DE131B" w:rsidP="001B5E7B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E946B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9D2B8C" w:rsidRPr="007B17C0" w:rsidRDefault="009D2B8C" w:rsidP="001B5E7B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2301"/>
              <w:gridCol w:w="7260"/>
            </w:tblGrid>
            <w:tr w:rsidR="00DE131B" w:rsidRPr="00E946BD" w:rsidTr="009D2B8C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31B" w:rsidRPr="00E946BD" w:rsidRDefault="00DE131B" w:rsidP="007866FE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E946BD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31B" w:rsidRPr="00E946BD" w:rsidRDefault="00DE131B" w:rsidP="007866FE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 w:rsidRPr="00E946BD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31B" w:rsidRPr="00E946BD" w:rsidRDefault="00DE131B" w:rsidP="007866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46BD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D2B8C" w:rsidRDefault="009D2B8C" w:rsidP="009D2B8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</w:p>
          <w:p w:rsidR="00DE131B" w:rsidRPr="00E946BD" w:rsidRDefault="00DE131B" w:rsidP="009D2B8C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E946B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E946BD">
              <w:rPr>
                <w:rFonts w:ascii="GHEA Grapalat" w:hAnsi="GHEA Grapalat"/>
                <w:lang w:val="hy-AM"/>
              </w:rPr>
              <w:br/>
            </w:r>
            <w:r w:rsidRPr="00E946BD">
              <w:rPr>
                <w:rFonts w:ascii="GHEA Grapalat" w:hAnsi="GHEA Grapalat" w:cs="Sylfaen"/>
                <w:lang w:val="hy-AM"/>
              </w:rPr>
              <w:t>Ունի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իրականացման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համար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անհրաժեշտ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գիտելիքներ</w:t>
            </w:r>
            <w:r w:rsidRPr="00E946BD">
              <w:rPr>
                <w:rFonts w:ascii="GHEA Grapalat" w:hAnsi="GHEA Grapalat"/>
                <w:lang w:val="hy-AM"/>
              </w:rPr>
              <w:br/>
            </w:r>
            <w:r w:rsidRPr="00E946BD">
              <w:rPr>
                <w:rFonts w:ascii="GHEA Grapalat" w:hAnsi="GHEA Grapalat"/>
                <w:b/>
                <w:lang w:val="hy-AM"/>
              </w:rPr>
              <w:t>3.3.</w:t>
            </w:r>
            <w:r w:rsidRPr="00E946B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946BD">
              <w:rPr>
                <w:rFonts w:ascii="GHEA Grapalat" w:hAnsi="GHEA Grapalat"/>
                <w:lang w:val="hy-AM"/>
              </w:rPr>
              <w:br/>
            </w:r>
            <w:r w:rsidRPr="00E946BD">
              <w:rPr>
                <w:rFonts w:ascii="GHEA Grapalat" w:hAnsi="GHEA Grapalat" w:cs="Sylfaen"/>
                <w:lang w:val="hy-AM"/>
              </w:rPr>
              <w:t xml:space="preserve">Հանրային ծառայության առնվազն երեք տարվա ստաժ կամ </w:t>
            </w:r>
            <w:r w:rsidR="00805213" w:rsidRPr="00805213">
              <w:rPr>
                <w:rFonts w:ascii="GHEA Grapalat" w:hAnsi="GHEA Grapalat" w:cs="Sylfaen"/>
                <w:lang w:val="hy-AM"/>
              </w:rPr>
              <w:t xml:space="preserve">չորս </w:t>
            </w:r>
            <w:r w:rsidRPr="00E946BD">
              <w:rPr>
                <w:rFonts w:ascii="GHEA Grapalat" w:hAnsi="GHEA Grapalat" w:cs="Sylfaen"/>
                <w:lang w:val="hy-AM"/>
              </w:rPr>
              <w:t xml:space="preserve">տարվա </w:t>
            </w:r>
            <w:r w:rsidRPr="00E946BD">
              <w:rPr>
                <w:rFonts w:ascii="GHEA Grapalat" w:hAnsi="GHEA Grapalat" w:cs="Sylfaen"/>
                <w:lang w:val="hy-AM"/>
              </w:rPr>
              <w:lastRenderedPageBreak/>
              <w:t xml:space="preserve">մասնագիտական աշխատանքային ստաժ </w:t>
            </w:r>
            <w:r w:rsidR="00084158" w:rsidRPr="00084158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B17C0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B17C0" w:rsidRPr="008401E9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7B17C0">
              <w:rPr>
                <w:rFonts w:ascii="GHEA Grapalat" w:hAnsi="GHEA Grapalat" w:cs="Sylfaen"/>
                <w:lang w:val="hy-AM"/>
              </w:rPr>
              <w:t>գյուղատնտե</w:t>
            </w:r>
            <w:r w:rsidR="007B17C0" w:rsidRPr="008401E9">
              <w:rPr>
                <w:rFonts w:ascii="GHEA Grapalat" w:hAnsi="GHEA Grapalat" w:cs="Sylfaen"/>
                <w:lang w:val="hy-AM"/>
              </w:rPr>
              <w:t xml:space="preserve">սության </w:t>
            </w:r>
            <w:r w:rsidR="007B17C0" w:rsidRPr="009C1745">
              <w:rPr>
                <w:rFonts w:ascii="GHEA Grapalat" w:hAnsi="GHEA Grapalat" w:cs="Sylfaen"/>
                <w:lang w:val="hy-AM"/>
              </w:rPr>
              <w:t xml:space="preserve">կամ առողջապահության կամ ստուգումների կազմակերպման </w:t>
            </w:r>
            <w:r w:rsidR="007B17C0" w:rsidRPr="008401E9">
              <w:rPr>
                <w:rFonts w:ascii="GHEA Grapalat" w:hAnsi="GHEA Grapalat" w:cs="Sylfaen"/>
                <w:lang w:val="hy-AM"/>
              </w:rPr>
              <w:t xml:space="preserve">և </w:t>
            </w:r>
            <w:r w:rsidR="007B17C0" w:rsidRPr="009C1745">
              <w:rPr>
                <w:rFonts w:ascii="GHEA Grapalat" w:hAnsi="GHEA Grapalat" w:cs="Sylfaen"/>
                <w:lang w:val="hy-AM"/>
              </w:rPr>
              <w:t xml:space="preserve">անցկացման բնագավառում կամ </w:t>
            </w:r>
            <w:r w:rsidR="007B17C0" w:rsidRPr="00431D61">
              <w:rPr>
                <w:rFonts w:ascii="GHEA Grapalat" w:hAnsi="GHEA Grapalat"/>
                <w:bCs/>
                <w:lang w:val="hy-AM"/>
              </w:rPr>
              <w:t xml:space="preserve">պետական </w:t>
            </w:r>
            <w:r w:rsidR="007B17C0">
              <w:rPr>
                <w:rFonts w:ascii="GHEA Grapalat" w:hAnsi="GHEA Grapalat"/>
                <w:bCs/>
                <w:lang w:val="hy-AM"/>
              </w:rPr>
              <w:t>կազմակերպությունների և հիմնարկների ղեկավարման</w:t>
            </w:r>
            <w:r w:rsidRPr="00E946BD">
              <w:rPr>
                <w:rFonts w:ascii="GHEA Grapalat" w:hAnsi="GHEA Grapalat" w:cs="Sylfaen"/>
                <w:lang w:val="hy-AM"/>
              </w:rPr>
              <w:t xml:space="preserve">` </w:t>
            </w:r>
            <w:r w:rsidR="00805213" w:rsidRPr="00805213">
              <w:rPr>
                <w:rFonts w:ascii="GHEA Grapalat" w:hAnsi="GHEA Grapalat" w:cs="Sylfaen"/>
                <w:lang w:val="hy-AM"/>
              </w:rPr>
              <w:t xml:space="preserve">չորս </w:t>
            </w:r>
            <w:r w:rsidRPr="00E946B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E946B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 xml:space="preserve">կոմպետենցիաներ </w:t>
            </w:r>
          </w:p>
          <w:p w:rsidR="00DE131B" w:rsidRPr="00E946BD" w:rsidRDefault="00DE131B" w:rsidP="0080179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E946BD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E946B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946BD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E946BD">
              <w:rPr>
                <w:rFonts w:ascii="GHEA Grapalat" w:hAnsi="GHEA Grapalat" w:cs="Sylfaen"/>
                <w:b/>
              </w:rPr>
              <w:t>՝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E946B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DE131B" w:rsidRPr="00E946BD" w:rsidRDefault="00DE131B" w:rsidP="0080179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DE131B" w:rsidRPr="00E946BD" w:rsidRDefault="00DE131B" w:rsidP="0080179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946B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E946BD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E946B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E946BD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DE131B" w:rsidRPr="001E7342" w:rsidRDefault="00DE131B" w:rsidP="001E734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946BD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E946BD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</w:p>
        </w:tc>
      </w:tr>
      <w:tr w:rsidR="003C5E15" w:rsidRPr="003C5E15" w:rsidTr="0080179F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946BD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56E4A" w:rsidRPr="00E946BD" w:rsidRDefault="00856E4A" w:rsidP="001A469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1A4692" w:rsidRPr="00E946BD" w:rsidRDefault="00856E4A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4.3.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ազդեցություն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741B59" w:rsidRDefault="00741B59" w:rsidP="001A469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մակարդակում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A4692" w:rsidRPr="00E946BD" w:rsidRDefault="00856E4A" w:rsidP="001A469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</w:rPr>
              <w:t xml:space="preserve">4.4.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Շփումներ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ներկայացուցչություն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1A4692" w:rsidRPr="00E946BD" w:rsidRDefault="000E74D1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Շփվում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օտարերկրյա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պետությունների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իրավասությունների</w:t>
            </w:r>
            <w:proofErr w:type="spellEnd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4.5.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Խնդիրների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բարդությունը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դրանց</w:t>
            </w:r>
            <w:proofErr w:type="spellEnd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լուծումը</w:t>
            </w:r>
            <w:proofErr w:type="spellEnd"/>
            <w:r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0E74D1" w:rsidRPr="000E74D1" w:rsidRDefault="000E74D1" w:rsidP="000E74D1">
            <w:pPr>
              <w:pStyle w:val="NormalWeb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E946BD">
              <w:rPr>
                <w:rFonts w:ascii="GHEA Grapalat" w:hAnsi="GHEA Grapalat"/>
                <w:color w:val="000000"/>
              </w:rPr>
              <w:t>Իր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լիազորությունների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շրջանակներում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բացահայտում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վերլուծում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գնահատում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իր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կողմից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</w:rPr>
              <w:t>ղեկավարվող</w:t>
            </w:r>
            <w:proofErr w:type="spellEnd"/>
            <w:r w:rsidR="00741B5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կառուցվածքային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ստորաբաժանման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</w:rPr>
              <w:t>գործառույթներից</w:t>
            </w:r>
            <w:proofErr w:type="spellEnd"/>
            <w:r w:rsidR="00741B5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741B59">
              <w:rPr>
                <w:rFonts w:ascii="GHEA Grapalat" w:hAnsi="GHEA Grapalat"/>
                <w:color w:val="000000"/>
              </w:rPr>
              <w:t>բխող</w:t>
            </w:r>
            <w:proofErr w:type="spellEnd"/>
            <w:r w:rsidR="00741B5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խնդիրները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դրանց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տալիս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946BD">
              <w:rPr>
                <w:rFonts w:ascii="GHEA Grapalat" w:hAnsi="GHEA Grapalat"/>
                <w:color w:val="000000"/>
              </w:rPr>
              <w:t>լուծումներ</w:t>
            </w:r>
            <w:proofErr w:type="spellEnd"/>
            <w:r w:rsidRPr="00E946BD">
              <w:rPr>
                <w:rFonts w:ascii="GHEA Grapalat" w:hAnsi="GHEA Grapalat"/>
                <w:color w:val="000000"/>
              </w:rPr>
              <w:t>։</w:t>
            </w:r>
          </w:p>
          <w:p w:rsidR="003C5E15" w:rsidRPr="003C5E15" w:rsidRDefault="003C5E15" w:rsidP="001A46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1859CD" w:rsidRPr="00D45F52" w:rsidRDefault="001859CD" w:rsidP="00E23E3E">
      <w:pPr>
        <w:rPr>
          <w:rFonts w:ascii="GHEA Grapalat" w:hAnsi="GHEA Grapalat"/>
        </w:rPr>
      </w:pPr>
    </w:p>
    <w:sectPr w:rsidR="001859CD" w:rsidRPr="00D45F52" w:rsidSect="00003DD3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594EAA"/>
    <w:multiLevelType w:val="hybridMultilevel"/>
    <w:tmpl w:val="41A8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14E"/>
    <w:multiLevelType w:val="hybridMultilevel"/>
    <w:tmpl w:val="00004338"/>
    <w:lvl w:ilvl="0" w:tplc="C78E0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3A3D06"/>
    <w:multiLevelType w:val="hybridMultilevel"/>
    <w:tmpl w:val="A466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113B"/>
    <w:multiLevelType w:val="hybridMultilevel"/>
    <w:tmpl w:val="82489E62"/>
    <w:lvl w:ilvl="0" w:tplc="3BAA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16C0"/>
    <w:rsid w:val="00003DD3"/>
    <w:rsid w:val="000203EC"/>
    <w:rsid w:val="000352C8"/>
    <w:rsid w:val="000438DA"/>
    <w:rsid w:val="00056169"/>
    <w:rsid w:val="00072753"/>
    <w:rsid w:val="00084158"/>
    <w:rsid w:val="00084C9F"/>
    <w:rsid w:val="000C36A6"/>
    <w:rsid w:val="000E74D1"/>
    <w:rsid w:val="0010100C"/>
    <w:rsid w:val="00107823"/>
    <w:rsid w:val="00113C7C"/>
    <w:rsid w:val="00122F8F"/>
    <w:rsid w:val="00143524"/>
    <w:rsid w:val="00156A56"/>
    <w:rsid w:val="00156F9D"/>
    <w:rsid w:val="00171B3B"/>
    <w:rsid w:val="00184D27"/>
    <w:rsid w:val="001859CD"/>
    <w:rsid w:val="001A4692"/>
    <w:rsid w:val="001B5E7B"/>
    <w:rsid w:val="001C059B"/>
    <w:rsid w:val="001E7342"/>
    <w:rsid w:val="001F5027"/>
    <w:rsid w:val="002357A1"/>
    <w:rsid w:val="00251AF0"/>
    <w:rsid w:val="00267FFB"/>
    <w:rsid w:val="002C424E"/>
    <w:rsid w:val="002E2AF9"/>
    <w:rsid w:val="00317CA3"/>
    <w:rsid w:val="00334754"/>
    <w:rsid w:val="00343519"/>
    <w:rsid w:val="00361376"/>
    <w:rsid w:val="00380002"/>
    <w:rsid w:val="003C5E15"/>
    <w:rsid w:val="003D1668"/>
    <w:rsid w:val="003E3F61"/>
    <w:rsid w:val="00407C16"/>
    <w:rsid w:val="00411E7F"/>
    <w:rsid w:val="00425257"/>
    <w:rsid w:val="0043050E"/>
    <w:rsid w:val="00430641"/>
    <w:rsid w:val="004973F5"/>
    <w:rsid w:val="0049783D"/>
    <w:rsid w:val="004A2807"/>
    <w:rsid w:val="004E1233"/>
    <w:rsid w:val="004E48C0"/>
    <w:rsid w:val="004F182B"/>
    <w:rsid w:val="00504CE0"/>
    <w:rsid w:val="00515ED5"/>
    <w:rsid w:val="00531B09"/>
    <w:rsid w:val="0055202A"/>
    <w:rsid w:val="00554281"/>
    <w:rsid w:val="0056483E"/>
    <w:rsid w:val="005800AA"/>
    <w:rsid w:val="00582658"/>
    <w:rsid w:val="005A26F2"/>
    <w:rsid w:val="005C3275"/>
    <w:rsid w:val="005E646E"/>
    <w:rsid w:val="00624A4D"/>
    <w:rsid w:val="006528B2"/>
    <w:rsid w:val="00683747"/>
    <w:rsid w:val="006A3DCF"/>
    <w:rsid w:val="006A3E25"/>
    <w:rsid w:val="006A54A3"/>
    <w:rsid w:val="006B1D27"/>
    <w:rsid w:val="00741B59"/>
    <w:rsid w:val="00746453"/>
    <w:rsid w:val="00775518"/>
    <w:rsid w:val="00776A6A"/>
    <w:rsid w:val="007A14F0"/>
    <w:rsid w:val="007B17C0"/>
    <w:rsid w:val="007B1C1E"/>
    <w:rsid w:val="007C5CD9"/>
    <w:rsid w:val="007D607D"/>
    <w:rsid w:val="007F3780"/>
    <w:rsid w:val="0080179F"/>
    <w:rsid w:val="00802C83"/>
    <w:rsid w:val="00805213"/>
    <w:rsid w:val="00856E4A"/>
    <w:rsid w:val="00867FD5"/>
    <w:rsid w:val="008802B3"/>
    <w:rsid w:val="00893785"/>
    <w:rsid w:val="008C3524"/>
    <w:rsid w:val="008C7304"/>
    <w:rsid w:val="008E5ADA"/>
    <w:rsid w:val="008E696F"/>
    <w:rsid w:val="008F5108"/>
    <w:rsid w:val="009248A6"/>
    <w:rsid w:val="009A6B78"/>
    <w:rsid w:val="009D0775"/>
    <w:rsid w:val="009D2B8C"/>
    <w:rsid w:val="009F3ED2"/>
    <w:rsid w:val="00A30269"/>
    <w:rsid w:val="00A47B7E"/>
    <w:rsid w:val="00AA4C3B"/>
    <w:rsid w:val="00AB04E9"/>
    <w:rsid w:val="00AB1E21"/>
    <w:rsid w:val="00AE2B84"/>
    <w:rsid w:val="00B17A52"/>
    <w:rsid w:val="00B30D6E"/>
    <w:rsid w:val="00B3332A"/>
    <w:rsid w:val="00B33811"/>
    <w:rsid w:val="00B674BF"/>
    <w:rsid w:val="00B677A7"/>
    <w:rsid w:val="00BA648C"/>
    <w:rsid w:val="00BC2567"/>
    <w:rsid w:val="00BC7610"/>
    <w:rsid w:val="00BD33B2"/>
    <w:rsid w:val="00BE09F1"/>
    <w:rsid w:val="00BF0D2C"/>
    <w:rsid w:val="00C179D4"/>
    <w:rsid w:val="00C21983"/>
    <w:rsid w:val="00C26ACD"/>
    <w:rsid w:val="00C45438"/>
    <w:rsid w:val="00C61C6B"/>
    <w:rsid w:val="00C772EE"/>
    <w:rsid w:val="00C9375E"/>
    <w:rsid w:val="00CB4E34"/>
    <w:rsid w:val="00CC25F1"/>
    <w:rsid w:val="00CC37A1"/>
    <w:rsid w:val="00CD1366"/>
    <w:rsid w:val="00CE2EA0"/>
    <w:rsid w:val="00CE633A"/>
    <w:rsid w:val="00CF230B"/>
    <w:rsid w:val="00D160D0"/>
    <w:rsid w:val="00D17BF4"/>
    <w:rsid w:val="00D25256"/>
    <w:rsid w:val="00D42C9A"/>
    <w:rsid w:val="00D4390F"/>
    <w:rsid w:val="00D45F52"/>
    <w:rsid w:val="00D506FE"/>
    <w:rsid w:val="00D94973"/>
    <w:rsid w:val="00DC29D8"/>
    <w:rsid w:val="00DC5D33"/>
    <w:rsid w:val="00DE131B"/>
    <w:rsid w:val="00E2272E"/>
    <w:rsid w:val="00E23E3E"/>
    <w:rsid w:val="00E46A55"/>
    <w:rsid w:val="00E53ECB"/>
    <w:rsid w:val="00E64B41"/>
    <w:rsid w:val="00E72386"/>
    <w:rsid w:val="00E946BD"/>
    <w:rsid w:val="00EA1FCE"/>
    <w:rsid w:val="00ED684C"/>
    <w:rsid w:val="00ED6921"/>
    <w:rsid w:val="00EE5E6A"/>
    <w:rsid w:val="00F0414E"/>
    <w:rsid w:val="00F14BA0"/>
    <w:rsid w:val="00F153B7"/>
    <w:rsid w:val="00F45F9E"/>
    <w:rsid w:val="00F467ED"/>
    <w:rsid w:val="00F55B09"/>
    <w:rsid w:val="00F6352B"/>
    <w:rsid w:val="00FA59AE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89E0AB5-3437-4F48-A60D-FA3453B3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A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F1FC-A8CA-4D54-89D6-2E68FA54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48</cp:revision>
  <cp:lastPrinted>2019-03-13T08:19:00Z</cp:lastPrinted>
  <dcterms:created xsi:type="dcterms:W3CDTF">2019-11-18T07:41:00Z</dcterms:created>
  <dcterms:modified xsi:type="dcterms:W3CDTF">2020-04-17T14:20:00Z</dcterms:modified>
</cp:coreProperties>
</file>