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7B" w:rsidRPr="00961A30" w:rsidRDefault="00E8517B" w:rsidP="00E8517B">
      <w:pPr>
        <w:spacing w:after="0"/>
        <w:ind w:firstLine="375"/>
        <w:jc w:val="right"/>
        <w:rPr>
          <w:rFonts w:ascii="GHEA Grapalat" w:eastAsia="Times New Roman" w:hAnsi="GHEA Grapalat" w:cs="Sylfaen"/>
          <w:color w:val="000000" w:themeColor="text1"/>
          <w:sz w:val="16"/>
          <w:szCs w:val="16"/>
        </w:rPr>
      </w:pPr>
      <w:r w:rsidRPr="00961A30">
        <w:rPr>
          <w:rFonts w:ascii="GHEA Grapalat" w:eastAsia="Times New Roman" w:hAnsi="GHEA Grapalat" w:cs="Sylfaen"/>
          <w:color w:val="000000" w:themeColor="text1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color w:val="000000" w:themeColor="text1"/>
          <w:sz w:val="16"/>
          <w:szCs w:val="16"/>
          <w:lang w:val="ru-RU"/>
        </w:rPr>
        <w:t xml:space="preserve"> </w:t>
      </w:r>
      <w:r>
        <w:rPr>
          <w:rFonts w:ascii="GHEA Grapalat" w:eastAsia="Times New Roman" w:hAnsi="GHEA Grapalat" w:cs="Sylfaen"/>
          <w:color w:val="000000" w:themeColor="text1"/>
          <w:sz w:val="16"/>
          <w:szCs w:val="16"/>
        </w:rPr>
        <w:t>266</w:t>
      </w:r>
      <w:r w:rsidRPr="00961A30">
        <w:rPr>
          <w:rFonts w:ascii="GHEA Grapalat" w:eastAsia="Times New Roman" w:hAnsi="GHEA Grapalat" w:cs="Sylfaen"/>
          <w:color w:val="000000" w:themeColor="text1"/>
          <w:sz w:val="16"/>
          <w:szCs w:val="16"/>
        </w:rPr>
        <w:t xml:space="preserve">  </w:t>
      </w:r>
    </w:p>
    <w:p w:rsidR="00E8517B" w:rsidRPr="00961A30" w:rsidRDefault="00E8517B" w:rsidP="00E8517B">
      <w:pPr>
        <w:spacing w:after="0"/>
        <w:ind w:firstLine="375"/>
        <w:jc w:val="right"/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</w:pPr>
      <w:r w:rsidRPr="00961A30">
        <w:rPr>
          <w:rFonts w:ascii="GHEA Grapalat" w:eastAsia="Times New Roman" w:hAnsi="GHEA Grapalat" w:cs="Sylfaen"/>
          <w:color w:val="000000" w:themeColor="text1"/>
          <w:sz w:val="16"/>
          <w:szCs w:val="16"/>
        </w:rPr>
        <w:t>Հաստատված</w:t>
      </w: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</w:t>
      </w:r>
      <w:r w:rsidRPr="00961A30">
        <w:rPr>
          <w:rFonts w:ascii="GHEA Grapalat" w:eastAsia="Times New Roman" w:hAnsi="GHEA Grapalat" w:cs="Sylfaen"/>
          <w:color w:val="000000" w:themeColor="text1"/>
          <w:sz w:val="16"/>
          <w:szCs w:val="16"/>
        </w:rPr>
        <w:t>է</w:t>
      </w:r>
    </w:p>
    <w:p w:rsidR="00E8517B" w:rsidRPr="00961A30" w:rsidRDefault="00E8517B" w:rsidP="00E8517B">
      <w:pPr>
        <w:spacing w:after="0"/>
        <w:ind w:firstLine="375"/>
        <w:jc w:val="right"/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</w:pP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Հայաստանի </w:t>
      </w: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  <w:lang w:val="hy-AM"/>
        </w:rPr>
        <w:t>Հ</w:t>
      </w: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>անրապետության սննդամթերքի</w:t>
      </w:r>
    </w:p>
    <w:p w:rsidR="00E8517B" w:rsidRPr="00961A30" w:rsidRDefault="00E8517B" w:rsidP="00E8517B">
      <w:pPr>
        <w:spacing w:after="0"/>
        <w:ind w:firstLine="375"/>
        <w:jc w:val="right"/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</w:pP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անվտանգության տեսչական մարմնի </w:t>
      </w: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  <w:lang w:val="hy-AM"/>
        </w:rPr>
        <w:t>ղեկավար</w:t>
      </w:r>
      <w:r w:rsidRPr="00961A30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ի </w:t>
      </w:r>
    </w:p>
    <w:p w:rsidR="00E8517B" w:rsidRPr="00961A30" w:rsidRDefault="00E8517B" w:rsidP="00E8517B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 w:rsidRPr="00961A3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961A30">
        <w:rPr>
          <w:rFonts w:ascii="GHEA Grapalat" w:hAnsi="GHEA Grapalat" w:cs="Sylfaen"/>
          <w:color w:val="000000" w:themeColor="text1"/>
          <w:sz w:val="16"/>
          <w:szCs w:val="16"/>
        </w:rPr>
        <w:t>2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1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961A3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հ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ունվարի 12</w:t>
      </w:r>
      <w:r w:rsidRPr="002F0805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2F0805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961A3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10</w:t>
      </w:r>
      <w:bookmarkStart w:id="0" w:name="_GoBack"/>
      <w:bookmarkEnd w:id="0"/>
      <w:r w:rsidRPr="00E33C01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961A3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E33BEF" w:rsidRPr="00E8517B" w:rsidRDefault="00E33BEF" w:rsidP="00CA2D89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3C5E15" w:rsidRPr="004907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4907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490715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490715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415184" w:rsidRPr="00490715" w:rsidRDefault="00415184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9071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ՍՆՆԴԱՄԹԵՐՔԻ ԱՆՎՏԱՆԳՈՒԹՅԱՆ </w:t>
      </w:r>
      <w:r w:rsidR="00E67CE6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F4011A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ԼԽԱՎՈՐ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969D8" w:rsidRPr="00490715">
        <w:rPr>
          <w:rFonts w:ascii="GHEA Grapalat" w:eastAsia="Times New Roman" w:hAnsi="GHEA Grapalat" w:cs="Times New Roman"/>
          <w:b/>
          <w:sz w:val="24"/>
          <w:szCs w:val="24"/>
        </w:rPr>
        <w:t>ՏԵՍՈՒՉ</w:t>
      </w: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7"/>
      </w:tblGrid>
      <w:tr w:rsidR="003C5E15" w:rsidRPr="0049071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907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8517B" w:rsidTr="00F969D8">
        <w:trPr>
          <w:trHeight w:val="46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490715" w:rsidRDefault="003C5E15" w:rsidP="0041324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49071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սննդամթերքի անվտանգության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8C7304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4907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490715">
              <w:rPr>
                <w:rFonts w:ascii="GHEA Grapalat" w:hAnsi="GHEA Grapalat"/>
                <w:sz w:val="24"/>
                <w:szCs w:val="24"/>
              </w:rPr>
              <w:t>70-</w:t>
            </w:r>
            <w:r w:rsidR="00E67CE6" w:rsidRPr="00490715">
              <w:rPr>
                <w:rFonts w:ascii="GHEA Grapalat" w:hAnsi="GHEA Grapalat"/>
                <w:sz w:val="24"/>
                <w:szCs w:val="24"/>
              </w:rPr>
              <w:t>26.4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490715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254417">
              <w:rPr>
                <w:rFonts w:ascii="GHEA Grapalat" w:hAnsi="GHEA Grapalat"/>
                <w:sz w:val="24"/>
                <w:szCs w:val="24"/>
              </w:rPr>
              <w:t>2</w:t>
            </w:r>
            <w:r w:rsidR="00461387">
              <w:rPr>
                <w:rFonts w:ascii="GHEA Grapalat" w:hAnsi="GHEA Grapalat"/>
                <w:sz w:val="24"/>
                <w:szCs w:val="24"/>
              </w:rPr>
              <w:t>-5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)</w:t>
            </w:r>
            <w:r w:rsidRPr="004907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490715" w:rsidRDefault="000571F0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E67CE6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41324C" w:rsidRPr="0049071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490715" w:rsidRDefault="0041324C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490715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7A13D6" w:rsidRPr="007A13D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>գ</w:t>
            </w:r>
            <w:r w:rsidR="005A360C" w:rsidRPr="00490715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76ADE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F76ADE" w:rsidRPr="00F76ADE">
              <w:rPr>
                <w:rFonts w:ascii="GHEA Grapalat" w:hAnsi="GHEA Grapalat"/>
                <w:sz w:val="24"/>
                <w:lang w:val="hy-AM"/>
              </w:rPr>
              <w:t>չ</w:t>
            </w:r>
            <w:r w:rsidR="009A6B78" w:rsidRPr="00490715">
              <w:rPr>
                <w:rFonts w:ascii="GHEA Grapalat" w:hAnsi="GHEA Grapalat"/>
                <w:sz w:val="24"/>
                <w:lang w:val="hy-AM"/>
              </w:rPr>
              <w:t>ը</w:t>
            </w:r>
            <w:r w:rsidR="000571F0" w:rsidRPr="00490715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3C5E15" w:rsidRPr="00490715" w:rsidRDefault="0041324C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54417" w:rsidRPr="0025441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46138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490715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49071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E8517B" w:rsidTr="00254417">
        <w:trPr>
          <w:trHeight w:val="6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90715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90715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E67CE6" w:rsidRPr="00490715" w:rsidRDefault="00E67CE6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color w:val="000000" w:themeColor="text1"/>
                <w:lang w:val="hy-AM"/>
              </w:rPr>
              <w:t>իրականացնում է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 սննդի շղթայի փուլերում նորմատիվ իրավական ակտերով սահմանված պահանջների համապատասխանության նկատմամբ պետական վերահսկողության 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սննդամթերքի անվտանգության և որակի հսկողության բնագավառում </w:t>
            </w:r>
            <w:r w:rsidRPr="00490715">
              <w:rPr>
                <w:rFonts w:ascii="GHEA Grapalat" w:hAnsi="GHEA Grapalat" w:cs="Times Unicode"/>
                <w:lang w:val="hy-AM"/>
              </w:rPr>
              <w:t>Տեսչական 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կողմից կատարվող պետական վերահսկողության պլանավորման և համակարգման աշխատանքները.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 xml:space="preserve">պետական վերահսկողության արդյունքերի և ընթացիկ </w:t>
            </w:r>
            <w:r w:rsidRPr="00490715">
              <w:rPr>
                <w:rFonts w:ascii="GHEA Grapalat" w:hAnsi="GHEA Grapalat"/>
                <w:lang w:val="af-ZA"/>
              </w:rPr>
              <w:lastRenderedPageBreak/>
              <w:t>աշխատանքների իրականացման համար անհրաժեշտ  հաշվետվությունների և այլ ձևաթղթերի մշակ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Տեսչական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Երևանի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մարզային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կենտրոնների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կողմից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վերահսկողության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արդյունքում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ստացված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տեղեկատվության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ուսումնասիրության, </w:t>
            </w:r>
            <w:r w:rsidRPr="00490715">
              <w:rPr>
                <w:rFonts w:ascii="GHEA Grapalat" w:hAnsi="GHEA Grapalat"/>
                <w:lang w:val="af-ZA"/>
              </w:rPr>
              <w:t>ամփոփ</w:t>
            </w:r>
            <w:r w:rsidRPr="00490715">
              <w:rPr>
                <w:rFonts w:ascii="GHEA Grapalat" w:hAnsi="GHEA Grapalat"/>
                <w:lang w:val="hy-AM"/>
              </w:rPr>
              <w:t>ման</w:t>
            </w:r>
            <w:r w:rsidRPr="00490715">
              <w:rPr>
                <w:rFonts w:ascii="GHEA Grapalat" w:hAnsi="GHEA Grapalat"/>
                <w:lang w:val="af-ZA"/>
              </w:rPr>
              <w:t>, ընթացիկ 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, </w:t>
            </w:r>
            <w:r w:rsidRPr="00490715">
              <w:rPr>
                <w:rFonts w:ascii="GHEA Grapalat" w:hAnsi="GHEA Grapalat" w:cs="Times Unicode"/>
              </w:rPr>
              <w:t>մասնագիտական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խորհրդատվության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տրամադր</w:t>
            </w:r>
            <w:r w:rsidRPr="00490715">
              <w:rPr>
                <w:rFonts w:ascii="GHEA Grapalat" w:hAnsi="GHEA Grapalat" w:cs="Times Unicode"/>
                <w:lang w:val="hy-AM"/>
              </w:rPr>
              <w:t>ման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բնագավառում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կատարվող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արդյունավետ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ուղղված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հանձնարարականների</w:t>
            </w:r>
            <w:r w:rsidRPr="00490715">
              <w:rPr>
                <w:rFonts w:ascii="GHEA Grapalat" w:hAnsi="GHEA Grapalat" w:cs="Times Unicode"/>
                <w:lang w:val="hy-AM"/>
              </w:rPr>
              <w:t>,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առաջարկություններ</w:t>
            </w:r>
            <w:r w:rsidRPr="00490715">
              <w:rPr>
                <w:rFonts w:ascii="GHEA Grapalat" w:hAnsi="GHEA Grapalat" w:cs="Times Unicode"/>
                <w:lang w:val="hy-AM"/>
              </w:rPr>
              <w:t>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ներկայաց</w:t>
            </w:r>
            <w:r w:rsidRPr="00490715">
              <w:rPr>
                <w:rFonts w:ascii="GHEA Grapalat" w:hAnsi="GHEA Grapalat" w:cs="Times Unicode"/>
                <w:lang w:val="hy-AM"/>
              </w:rPr>
              <w:t>ման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արտադրության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փուլում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վտանգի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աղբյուրի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վերլուծության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կրիտիկական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ներդրման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վերաբերյալ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սննդի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շղթայի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օպերատորներին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</w:rPr>
              <w:t>խորհրդատվության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տրամադր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ս</w:t>
            </w:r>
            <w:r w:rsidRPr="00490715">
              <w:rPr>
                <w:rFonts w:ascii="GHEA Grapalat" w:hAnsi="GHEA Grapalat" w:cs="Times Unicode"/>
              </w:rPr>
              <w:t>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բնագավառներում 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միջազգային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տարածաշրջանային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համապատասխան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կազմակերպությունների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հետ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համագործակցությ</w:t>
            </w:r>
            <w:r w:rsidRPr="00490715">
              <w:rPr>
                <w:rFonts w:ascii="GHEA Grapalat" w:hAnsi="GHEA Grapalat" w:cs="Times Unicode"/>
                <w:lang w:val="hy-AM"/>
              </w:rPr>
              <w:t>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մոնիթորինգային ծրագրերի նախագծման և իրականացման վերաբերյալ առաջարկությունների ներկայաց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color w:val="000000"/>
                <w:lang w:val="af-ZA"/>
              </w:rPr>
              <w:t>իրականացնում է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 xml:space="preserve"> սննդամթերքի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Տեսչական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քաղաքականության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առաջարկությունների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ներկայացման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աշխատանքներ</w:t>
            </w:r>
            <w:r w:rsidRPr="00490715">
              <w:rPr>
                <w:rFonts w:ascii="GHEA Grapalat" w:hAnsi="GHEA Grapalat" w:cs="Sylfaen"/>
                <w:color w:val="000000"/>
              </w:rPr>
              <w:t>ը</w:t>
            </w:r>
            <w:r w:rsidRPr="00490715">
              <w:rPr>
                <w:rFonts w:ascii="GHEA Grapalat" w:hAnsi="GHEA Grapalat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իրականա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ցնում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ը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lang w:eastAsia="ru-RU"/>
              </w:rPr>
              <w:t>իրականացնում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է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կառավարությունից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նախարարություններից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մարմիններից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ինչպես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նաև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Եվրասիական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տնտեսական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հանձնաժողովից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ստացված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օրենքների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և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իրավական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այլ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ակտերի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նախագծերի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վերաբերյալ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կարծիքների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տրամադր</w:t>
            </w:r>
            <w:r w:rsidRPr="00490715">
              <w:rPr>
                <w:rFonts w:ascii="GHEA Grapalat" w:hAnsi="GHEA Grapalat" w:cs="Sylfaen"/>
                <w:lang w:eastAsia="ru-RU"/>
              </w:rPr>
              <w:t>ման</w:t>
            </w:r>
            <w:r w:rsidRPr="0049071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eastAsia="ru-RU"/>
              </w:rPr>
              <w:t>աշխատանքները</w:t>
            </w:r>
            <w:r w:rsidRPr="00490715">
              <w:rPr>
                <w:rFonts w:ascii="GHEA Grapalat" w:hAnsi="GHEA Grapalat"/>
                <w:lang w:val="af-ZA" w:eastAsia="ru-RU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իրականացնում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է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Տեսչական մարմնի կառուցվածքային ստորաբաժանումների և տարածքային մարմինների հետ </w:t>
            </w:r>
            <w:r w:rsidRPr="00490715">
              <w:rPr>
                <w:rFonts w:ascii="GHEA Grapalat" w:hAnsi="GHEA Grapalat"/>
              </w:rPr>
              <w:t>հ</w:t>
            </w:r>
            <w:r w:rsidRPr="00490715">
              <w:rPr>
                <w:rFonts w:ascii="GHEA Grapalat" w:hAnsi="GHEA Grapalat"/>
                <w:lang w:val="hy-AM"/>
              </w:rPr>
              <w:t>ամագործակց</w:t>
            </w:r>
            <w:r w:rsidRPr="00490715">
              <w:rPr>
                <w:rFonts w:ascii="GHEA Grapalat" w:hAnsi="GHEA Grapalat"/>
              </w:rPr>
              <w:t>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աշխատանքները</w:t>
            </w:r>
            <w:r w:rsidRPr="00490715">
              <w:rPr>
                <w:rFonts w:ascii="GHEA Grapalat" w:hAnsi="GHEA Grapalat" w:cs="Cambria Math"/>
                <w:lang w:val="hy-AM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վտանգավոր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ոչնչացման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օգտահանման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գործընթացների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ոլորտին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lastRenderedPageBreak/>
              <w:t>առնչվող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af-ZA"/>
              </w:rPr>
              <w:t xml:space="preserve">  </w:t>
            </w:r>
            <w:r w:rsidRPr="00490715">
              <w:rPr>
                <w:rFonts w:ascii="GHEA Grapalat" w:hAnsi="GHEA Grapalat" w:cs="Times Unicode"/>
              </w:rPr>
              <w:t>իրավական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ակտերի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նախագծերի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մշակման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աշխատանքներին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մ</w:t>
            </w:r>
            <w:r w:rsidRPr="00490715">
              <w:rPr>
                <w:rFonts w:ascii="GHEA Grapalat" w:hAnsi="GHEA Grapalat" w:cs="Times Unicode"/>
              </w:rPr>
              <w:t>ասնակցում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Տեսչական մարմնի </w:t>
            </w:r>
            <w:r w:rsidRPr="00490715">
              <w:rPr>
                <w:rFonts w:ascii="GHEA Grapalat" w:hAnsi="GHEA Grapalat" w:cs="Times Unicode"/>
                <w:lang w:val="af-ZA"/>
              </w:rPr>
              <w:t>կողմից վարվող էլեկտրոնային  տեղեկատվական բազաների վարման աշխատանքներին.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մասնակցու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գործունեության վերաբերյալ ծրագրերի մշակման և իրականացման աշխատանքներին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մասնակցում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մոնիթորինգային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ծրագրերի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իրականացման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համակարգման</w:t>
            </w:r>
            <w:r w:rsidRPr="00490715">
              <w:rPr>
                <w:rFonts w:ascii="GHEA Grapalat" w:hAnsi="GHEA Grapalat"/>
                <w:lang w:val="hy-AM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00101D" w:rsidRPr="00490715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C5E15" w:rsidRPr="00490715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490715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D24D6" w:rsidRPr="00490715" w:rsidRDefault="008F1AD6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</w:t>
            </w:r>
            <w:r w:rsidRPr="008F1A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տարածքային ստորաբաժանումներից՝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Երևանի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կենտրոնից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ց</w:t>
            </w:r>
            <w:r w:rsidRPr="008F1AD6">
              <w:rPr>
                <w:rFonts w:ascii="GHEA Grapalat" w:hAnsi="GHEA Grapalat" w:cs="Times Unicode"/>
                <w:sz w:val="24"/>
                <w:szCs w:val="24"/>
                <w:lang w:val="hy-AM"/>
              </w:rPr>
              <w:t>,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 </w:t>
            </w:r>
            <w:r w:rsidR="001D6DED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պահանջել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նրանց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ունը</w:t>
            </w:r>
            <w:r w:rsidR="00CD24D6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70FA5" w:rsidRDefault="00770FA5" w:rsidP="00770FA5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համապատասխան շահագրգիռ մարմիններից ստանալ մասնագիտական կարծիքներ և առաջարկություններ</w:t>
            </w:r>
            <w:r w:rsidRPr="00770F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համապատասխան մարմնի տարբեր ստորաբաժանումների ներկայացուցիչների հետ առաջադրված խնդիրների լուծման նպատակով </w:t>
            </w:r>
            <w:r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 խորհրդակցություններ, քննարկումներ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A13D6" w:rsidRDefault="000903D7" w:rsidP="007A13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ննդամթերքի անվտանգության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ապահովման 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նպատակով ստուգումների անցկացման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ընթացքում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ներկայացուցչի մասնակցությամբ </w:t>
            </w:r>
            <w:r w:rsidR="003E61DF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անարգել մուտք գործել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ստուգվող ստորաբաժանումներ, </w:t>
            </w:r>
            <w:r w:rsidR="003E61DF"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="003E61DF"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7A13D6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36E00" w:rsidRPr="00490715" w:rsidRDefault="00336E00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գույքի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նկատմամբ իրավունքները գրանցող, հարկային, մաքսային և այլ պետական մարմիններից, կազմակերպություններից պահանջել ստուգվող սուբյեկտի գործարքների հաշիվների շարժի մասին տեղեկանքներ, փաստաթղթերի պատճեններ.</w:t>
            </w:r>
          </w:p>
          <w:p w:rsidR="00775518" w:rsidRPr="008F1AD6" w:rsidRDefault="003E61DF" w:rsidP="008F1A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0903D7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FF651D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բնագավառին առնչվող  հարցերի և խնդիրների լուծմանն ուղղված մասնագիտական առաջարկություններ, կարծիքներ և դիտարկումներ</w:t>
            </w:r>
            <w:r w:rsidR="003F4D83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490715" w:rsidRDefault="003E61DF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903D7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</w:t>
            </w:r>
            <w:r w:rsidR="007A13D6"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7A13D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 հարցերի շուրջ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9B67CA" w:rsidRPr="00490715" w:rsidRDefault="000903D7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դասընթացների, սեմինարների, գիտաժողովների</w:t>
            </w:r>
            <w:r w:rsidR="009B67CA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490715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490715" w:rsidRDefault="007C5CD9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490715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B67CA" w:rsidRPr="00490715" w:rsidRDefault="009B67CA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 վերահսկողության արդյունքների վերաբերյալ ստացված տեղեկատվության ուսումնասիրման, վերլուծության արդյունքում հայտնաբերված խախտումները վերացնելու նպատակով </w:t>
            </w:r>
            <w:r w:rsidR="00E67CE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առաջարկություններ և մասնագիտական կարծիք դրանց վերացման</w:t>
            </w:r>
            <w:r w:rsidR="00423472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միջոցների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 լուծման տարբերակների վերաբերյալ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A2665D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վտանգավոր սննդամթերքի ոչնչացման կամ օգտահանման գործընթացների իրականացման ընթացքում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որակի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հսկողության նորմերի, ընթացակարգերի և օրենսդրության խախտումների հայտանբերման դեպքում պահանջել վերացնել թույլ տված խախտումները և այդ մասին զեկուցել </w:t>
            </w:r>
            <w:r w:rsidR="00E67CE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պետին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սննդամթերքից մարդկանց փոխանցվող ինֆեկցիոն հիվանդությունների, սննդային թունավորումների հայտնաբերման դեպքում առողջապահության բնագավառում պետական լիազոր ու շահագրգիռ այլ մարմիններին տեղեկացնելու վերաբերյալ Վարչության պետին ներկայացնել համապատասխան առաջարկություն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սննդի օպերատորների կողմից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հիգիենային ներկայացվող պահանջների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խախտ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ումներ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հայտնաբեր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ելու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դեպքում մշակել իրավիճակից բխող համապատասխան գործողությունների պլան և այն ներկայացնել Վարչության պետին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ստուգումների ընթացքում թերություններ բացահայտելու դեպքում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այն թերությունների և խախտումների վերացման համար, որոնք չեն առաջացնում քրեական կամ վարչական պատասխանատվություն սահմանել ժամկետներ.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 առաջարկություններ ներկայացնել.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ուսումնասիրություն և դրա հիման վրա Վարչության պետին ներկայացնել առկա ընթացակարգերի բարելավման  տարբերակներ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ստուգվող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տնտեսավարող սուբյեկտի կողմից դրամական գործառնություններ կատարելու, հաշվետվություններ և հաշվարկներ կազմելու ճշտությունը հիմնավորելու նպատակով 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գործարքի մյուս կողմի մոտ հանդիպակաց` միայն տվյալ գործարքի կատարման օրինականության ստուգումներ.</w:t>
            </w:r>
            <w:r w:rsidRPr="006C7EE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 սննդամթերքի անվտանգության ապահովման վերաբերյալ Հայաստանի Հանրապետության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կառավարությունից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ստացված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 և կազմել դրանց կատարումից բխող պատասխան հանձնարարականներ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 ապահովման վերաբերյալ քաղաքացիներին և տնտեսավարող սուբյեկտներին տրամադրել  մասնագիտական խորհրդատվություն.</w:t>
            </w:r>
          </w:p>
          <w:p w:rsidR="009C1AC7" w:rsidRPr="00490715" w:rsidRDefault="003E61DF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պաշտոնատար անձանց ներկայացնել 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իրենց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պարտականությունները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9C1AC7" w:rsidRPr="00490715" w:rsidRDefault="009C1AC7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ընթացքում` 3 աշխատանքային օրում, գրավոր պատասխանել տնտեսավարող սուբյեկտի ղեկավարի կամ նրան փոխարինող անձի` ստուգման հետ առնչվող անմիջականորեն տնտեսավարող սուբյեկտի ստուգվող ժամանակաշրջանին վերաբերող ցանկացած գրավոր հարցման.</w:t>
            </w:r>
          </w:p>
          <w:p w:rsidR="00A2665D" w:rsidRPr="00490715" w:rsidRDefault="00852988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</w:t>
            </w:r>
            <w:r w:rsidR="004946AD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հայտնաբերման դեպքում այդ նյութերի ամբողջ խմբաքանակի շուկայից հետ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4946AD"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D4F99" w:rsidRPr="00490715" w:rsidRDefault="00770FA5" w:rsidP="002D4F99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անվտանգության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փաստաթղթերով.</w:t>
            </w:r>
          </w:p>
          <w:p w:rsidR="00A30269" w:rsidRPr="00490715" w:rsidRDefault="008962BB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4946AD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C7EEE" w:rsidRDefault="004946AD" w:rsidP="006C7EEE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0903D7"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770FA5" w:rsidRPr="00770FA5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դրանց վերացման, օրենսդրության կատարելագործման վերաբերյալ առաջարկություններ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C5E15" w:rsidRPr="0049071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490715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C227D2" w:rsidRPr="00490715" w:rsidRDefault="00C227D2" w:rsidP="00B12F90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"/>
              <w:gridCol w:w="1728"/>
              <w:gridCol w:w="2950"/>
              <w:gridCol w:w="4646"/>
            </w:tblGrid>
            <w:tr w:rsidR="00C00DAD" w:rsidRPr="00490715" w:rsidTr="0086460F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7D4696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>
                    <w:rPr>
                      <w:rFonts w:ascii="GHEA Grapalat" w:hAnsi="GHEA Grapalat"/>
                      <w:iCs/>
                    </w:rPr>
                    <w:t>Ճարտարագիտու</w:t>
                  </w:r>
                  <w:r w:rsidR="00C00DAD" w:rsidRPr="00490715">
                    <w:rPr>
                      <w:rFonts w:ascii="GHEA Grapalat" w:hAnsi="GHEA Grapalat"/>
                      <w:iCs/>
                    </w:rPr>
                    <w:t>թյուն, արդյունաբերություն և շինարարություն</w: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826C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C00DAD" w:rsidRPr="00490715" w:rsidRDefault="00C00DAD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482"/>
              <w:gridCol w:w="1836"/>
              <w:gridCol w:w="2880"/>
              <w:gridCol w:w="4659"/>
            </w:tblGrid>
            <w:tr w:rsidR="00C00DAD" w:rsidRPr="00E8517B" w:rsidTr="0086460F">
              <w:trPr>
                <w:trHeight w:val="91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1.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826CB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E696F" w:rsidRPr="00490715" w:rsidRDefault="003C5E15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 w:cs="Sylfaen"/>
                <w:lang w:val="hy-AM"/>
              </w:rPr>
              <w:t>Ունի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համար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գիտելիքներ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>3.3.</w:t>
            </w:r>
            <w:r w:rsidRPr="0049071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="00775518" w:rsidRPr="00490715">
              <w:rPr>
                <w:rFonts w:ascii="GHEA Grapalat" w:hAnsi="GHEA Grapalat" w:cs="Sylfaen"/>
                <w:lang w:val="hy-AM"/>
              </w:rPr>
              <w:t>Հ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7643E0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`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 </w:t>
            </w:r>
            <w:r w:rsidR="00770FA5" w:rsidRPr="00770FA5">
              <w:rPr>
                <w:rFonts w:ascii="GHEA Grapalat" w:hAnsi="GHEA Grapalat" w:cs="Sylfaen"/>
                <w:lang w:val="hy-AM"/>
              </w:rPr>
              <w:t xml:space="preserve"> </w:t>
            </w:r>
            <w:r w:rsidR="007643E0" w:rsidRPr="007643E0">
              <w:rPr>
                <w:rFonts w:ascii="GHEA Grapalat" w:hAnsi="GHEA Grapalat" w:cs="Sylfaen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90715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49071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464D6F" w:rsidRDefault="006A170A" w:rsidP="00464D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490715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490715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lastRenderedPageBreak/>
              <w:t>Կոնֆլիկտների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Ժամանակի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490715" w:rsidRDefault="00DC6DA3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490715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E8517B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254417" w:rsidRPr="003E2D28" w:rsidRDefault="00254417" w:rsidP="00254417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254417" w:rsidRPr="002D16F9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3050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E23E3E">
      <w:pPr>
        <w:rPr>
          <w:rFonts w:ascii="GHEA Grapalat" w:hAnsi="GHEA Grapalat"/>
          <w:lang w:val="hy-AM"/>
        </w:rPr>
      </w:pPr>
    </w:p>
    <w:sectPr w:rsidR="001859CD" w:rsidRPr="00DC6DA3" w:rsidSect="00E33A4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Unicode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314F"/>
    <w:rsid w:val="000352C8"/>
    <w:rsid w:val="000571F0"/>
    <w:rsid w:val="00062AD5"/>
    <w:rsid w:val="00073683"/>
    <w:rsid w:val="00084C9F"/>
    <w:rsid w:val="000903D7"/>
    <w:rsid w:val="000912E7"/>
    <w:rsid w:val="000B67A6"/>
    <w:rsid w:val="000F2E87"/>
    <w:rsid w:val="0010100C"/>
    <w:rsid w:val="00107823"/>
    <w:rsid w:val="00113C7C"/>
    <w:rsid w:val="00122F8F"/>
    <w:rsid w:val="001275E7"/>
    <w:rsid w:val="001357EB"/>
    <w:rsid w:val="00143524"/>
    <w:rsid w:val="001546BF"/>
    <w:rsid w:val="001859CD"/>
    <w:rsid w:val="001D6DED"/>
    <w:rsid w:val="001F5027"/>
    <w:rsid w:val="002276FB"/>
    <w:rsid w:val="0024212B"/>
    <w:rsid w:val="00251AF0"/>
    <w:rsid w:val="00254417"/>
    <w:rsid w:val="00285045"/>
    <w:rsid w:val="002D4F99"/>
    <w:rsid w:val="002E2AF9"/>
    <w:rsid w:val="002E5E71"/>
    <w:rsid w:val="00317CA3"/>
    <w:rsid w:val="00334754"/>
    <w:rsid w:val="00336E00"/>
    <w:rsid w:val="00343519"/>
    <w:rsid w:val="00366F4C"/>
    <w:rsid w:val="00370330"/>
    <w:rsid w:val="003C5E15"/>
    <w:rsid w:val="003D1668"/>
    <w:rsid w:val="003E2272"/>
    <w:rsid w:val="003E61DF"/>
    <w:rsid w:val="003F4D83"/>
    <w:rsid w:val="0040176C"/>
    <w:rsid w:val="00411E7F"/>
    <w:rsid w:val="0041324C"/>
    <w:rsid w:val="00415184"/>
    <w:rsid w:val="00423472"/>
    <w:rsid w:val="00425257"/>
    <w:rsid w:val="00425A28"/>
    <w:rsid w:val="0043050E"/>
    <w:rsid w:val="00430641"/>
    <w:rsid w:val="004465FE"/>
    <w:rsid w:val="00461387"/>
    <w:rsid w:val="00464D6F"/>
    <w:rsid w:val="00466FD7"/>
    <w:rsid w:val="0047099E"/>
    <w:rsid w:val="00490715"/>
    <w:rsid w:val="004946AD"/>
    <w:rsid w:val="004973F5"/>
    <w:rsid w:val="0049783D"/>
    <w:rsid w:val="004A2807"/>
    <w:rsid w:val="004E48C0"/>
    <w:rsid w:val="004F182B"/>
    <w:rsid w:val="00503A6B"/>
    <w:rsid w:val="00504CE0"/>
    <w:rsid w:val="00531B09"/>
    <w:rsid w:val="005357BB"/>
    <w:rsid w:val="00554281"/>
    <w:rsid w:val="0056483E"/>
    <w:rsid w:val="00582658"/>
    <w:rsid w:val="005A2E25"/>
    <w:rsid w:val="005A360C"/>
    <w:rsid w:val="005A6E8B"/>
    <w:rsid w:val="005E646E"/>
    <w:rsid w:val="006244E7"/>
    <w:rsid w:val="00624A4D"/>
    <w:rsid w:val="006A170A"/>
    <w:rsid w:val="006A3E25"/>
    <w:rsid w:val="006A54A3"/>
    <w:rsid w:val="006B1D27"/>
    <w:rsid w:val="006C125D"/>
    <w:rsid w:val="006C7EEE"/>
    <w:rsid w:val="006E2B6E"/>
    <w:rsid w:val="007363D5"/>
    <w:rsid w:val="007643E0"/>
    <w:rsid w:val="00770FA5"/>
    <w:rsid w:val="00775518"/>
    <w:rsid w:val="007A13D6"/>
    <w:rsid w:val="007A14F0"/>
    <w:rsid w:val="007C5CD9"/>
    <w:rsid w:val="007D4696"/>
    <w:rsid w:val="007D607D"/>
    <w:rsid w:val="007F1629"/>
    <w:rsid w:val="00802C83"/>
    <w:rsid w:val="00804BCA"/>
    <w:rsid w:val="00814C11"/>
    <w:rsid w:val="00826CBD"/>
    <w:rsid w:val="00852988"/>
    <w:rsid w:val="0086460F"/>
    <w:rsid w:val="00877948"/>
    <w:rsid w:val="008802B3"/>
    <w:rsid w:val="00893785"/>
    <w:rsid w:val="008962BB"/>
    <w:rsid w:val="008C7304"/>
    <w:rsid w:val="008E5ADA"/>
    <w:rsid w:val="008E696F"/>
    <w:rsid w:val="008F1AD6"/>
    <w:rsid w:val="008F5108"/>
    <w:rsid w:val="00912B4A"/>
    <w:rsid w:val="00912E35"/>
    <w:rsid w:val="009248A6"/>
    <w:rsid w:val="00942257"/>
    <w:rsid w:val="009A6B78"/>
    <w:rsid w:val="009B67CA"/>
    <w:rsid w:val="009C1AC7"/>
    <w:rsid w:val="009D0775"/>
    <w:rsid w:val="00A2665D"/>
    <w:rsid w:val="00A30269"/>
    <w:rsid w:val="00A47B7E"/>
    <w:rsid w:val="00A57F8B"/>
    <w:rsid w:val="00AA4C3B"/>
    <w:rsid w:val="00AD658F"/>
    <w:rsid w:val="00AE2B84"/>
    <w:rsid w:val="00B12F90"/>
    <w:rsid w:val="00B25294"/>
    <w:rsid w:val="00B6268D"/>
    <w:rsid w:val="00B674BF"/>
    <w:rsid w:val="00BA155A"/>
    <w:rsid w:val="00BC2567"/>
    <w:rsid w:val="00C00DAD"/>
    <w:rsid w:val="00C01479"/>
    <w:rsid w:val="00C179D4"/>
    <w:rsid w:val="00C21983"/>
    <w:rsid w:val="00C227D2"/>
    <w:rsid w:val="00C26ACD"/>
    <w:rsid w:val="00C27789"/>
    <w:rsid w:val="00C42472"/>
    <w:rsid w:val="00C45438"/>
    <w:rsid w:val="00C61C6B"/>
    <w:rsid w:val="00C9375E"/>
    <w:rsid w:val="00CA2D89"/>
    <w:rsid w:val="00CB4E34"/>
    <w:rsid w:val="00CC37A1"/>
    <w:rsid w:val="00CD1366"/>
    <w:rsid w:val="00CD24D6"/>
    <w:rsid w:val="00CE633A"/>
    <w:rsid w:val="00D06909"/>
    <w:rsid w:val="00D073F5"/>
    <w:rsid w:val="00D10E72"/>
    <w:rsid w:val="00D160D0"/>
    <w:rsid w:val="00D17BF4"/>
    <w:rsid w:val="00D327DC"/>
    <w:rsid w:val="00D4390F"/>
    <w:rsid w:val="00D45F52"/>
    <w:rsid w:val="00D715DB"/>
    <w:rsid w:val="00D9488E"/>
    <w:rsid w:val="00DC29D8"/>
    <w:rsid w:val="00DC5D33"/>
    <w:rsid w:val="00DC6DA3"/>
    <w:rsid w:val="00DD61AC"/>
    <w:rsid w:val="00DD6D55"/>
    <w:rsid w:val="00DE0B0C"/>
    <w:rsid w:val="00E2272E"/>
    <w:rsid w:val="00E23E3E"/>
    <w:rsid w:val="00E30DE9"/>
    <w:rsid w:val="00E33A45"/>
    <w:rsid w:val="00E33BEF"/>
    <w:rsid w:val="00E46A55"/>
    <w:rsid w:val="00E52A64"/>
    <w:rsid w:val="00E64B41"/>
    <w:rsid w:val="00E67CE6"/>
    <w:rsid w:val="00E72386"/>
    <w:rsid w:val="00E8517B"/>
    <w:rsid w:val="00EA2412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76ADE"/>
    <w:rsid w:val="00F969D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032A"/>
  <w15:docId w15:val="{93D4615D-97A3-4160-AF44-F3AE2657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48B5-566C-4CBD-B0CC-A033B11B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111</cp:revision>
  <cp:lastPrinted>2019-03-13T08:19:00Z</cp:lastPrinted>
  <dcterms:created xsi:type="dcterms:W3CDTF">2019-10-24T10:41:00Z</dcterms:created>
  <dcterms:modified xsi:type="dcterms:W3CDTF">2021-01-13T06:54:00Z</dcterms:modified>
</cp:coreProperties>
</file>