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49" w:rsidRPr="00981A65" w:rsidRDefault="00B055F1" w:rsidP="00C659F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 30</w:t>
      </w:r>
      <w:r w:rsidR="00DA5149" w:rsidRPr="00981A65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DA5149" w:rsidRPr="00981A65" w:rsidRDefault="00DA5149" w:rsidP="00C659F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81A65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81A6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81A65">
        <w:rPr>
          <w:rFonts w:ascii="GHEA Grapalat" w:eastAsia="Times New Roman" w:hAnsi="GHEA Grapalat" w:cs="Sylfaen"/>
          <w:sz w:val="16"/>
          <w:szCs w:val="16"/>
        </w:rPr>
        <w:t>է</w:t>
      </w:r>
    </w:p>
    <w:p w:rsidR="00DA5149" w:rsidRPr="00981A65" w:rsidRDefault="00DA5149" w:rsidP="00C659F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81A65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81A6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81A65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81A65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81A6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81A65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DA5149" w:rsidRPr="00981A65" w:rsidRDefault="00DA5149" w:rsidP="00C659F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81A6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81A65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81A6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81A65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81A6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81A65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81A6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81A65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81A65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7309D2" w:rsidRDefault="00B055F1" w:rsidP="007309D2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proofErr w:type="gram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proofErr w:type="gram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7309D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7309D2" w:rsidRDefault="00D45F52" w:rsidP="00C659F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81A65" w:rsidRDefault="00113C7C" w:rsidP="00C659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309D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DA5149" w:rsidRPr="00981A65" w:rsidRDefault="00DA5149" w:rsidP="00C659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81A65" w:rsidRDefault="00C61C6B" w:rsidP="00CD4B3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81A6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164C43" w:rsidRPr="00981A6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ԻՐԱՎԱ</w:t>
      </w:r>
      <w:r w:rsidR="00DC29D8" w:rsidRPr="00981A6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ԿԱՆ</w:t>
      </w:r>
      <w:r w:rsidR="00164C43" w:rsidRPr="00981A6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ԱՋԱԿՑՈՒԹՅԱՆ ԵՎ ՓԱՍՏԱԹՂԹԱՇՐՋԱՆԱՌՈՒԹՅԱՆ</w:t>
      </w:r>
      <w:r w:rsidR="008C7304" w:rsidRPr="00981A6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ՎԱՐՉՈՒԹՅԱՆ ՊԵՏ</w:t>
      </w:r>
    </w:p>
    <w:p w:rsidR="00113C7C" w:rsidRPr="00981A65" w:rsidRDefault="00113C7C" w:rsidP="00C659F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81A65" w:rsidRDefault="00113C7C" w:rsidP="00C659F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1"/>
      </w:tblGrid>
      <w:tr w:rsidR="00981A65" w:rsidRPr="00981A65" w:rsidTr="00ED6921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81A65" w:rsidRDefault="003C5E15" w:rsidP="00C659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81A6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81A6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81A6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981A65" w:rsidRPr="00BD6928" w:rsidTr="00ED6921">
        <w:trPr>
          <w:trHeight w:val="5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304" w:rsidRPr="00BD6928" w:rsidRDefault="003C5E15" w:rsidP="00CD4B3C">
            <w:pPr>
              <w:pStyle w:val="ab"/>
              <w:rPr>
                <w:rFonts w:ascii="GHEA Grapalat" w:eastAsia="Times New Roman" w:hAnsi="GHEA Grapalat"/>
                <w:iCs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81A65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164C43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</w:t>
            </w:r>
            <w:r w:rsidR="00DC29D8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ական</w:t>
            </w:r>
            <w:proofErr w:type="spellEnd"/>
            <w:r w:rsidR="008C7304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64C43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աջակցության</w:t>
            </w:r>
            <w:proofErr w:type="spellEnd"/>
            <w:r w:rsidR="00164C43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164C43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փաստաթղթաշրջանառության</w:t>
            </w:r>
            <w:proofErr w:type="spellEnd"/>
            <w:r w:rsidR="00164C43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C7304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proofErr w:type="spellEnd"/>
            <w:r w:rsidR="00430641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2E2AF9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Վարչություն</w:t>
            </w:r>
            <w:proofErr w:type="spellEnd"/>
            <w:r w:rsidR="00430641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C7304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</w:t>
            </w:r>
            <w:proofErr w:type="spellEnd"/>
            <w:r w:rsidR="00113C7C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81A6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A5149" w:rsidRPr="00981A65">
              <w:rPr>
                <w:rFonts w:ascii="GHEA Grapalat" w:hAnsi="GHEA Grapalat"/>
                <w:sz w:val="24"/>
                <w:szCs w:val="24"/>
              </w:rPr>
              <w:t>70-</w:t>
            </w:r>
            <w:r w:rsidR="00164C43" w:rsidRPr="00981A65">
              <w:rPr>
                <w:rFonts w:ascii="GHEA Grapalat" w:hAnsi="GHEA Grapalat"/>
                <w:sz w:val="24"/>
                <w:szCs w:val="24"/>
              </w:rPr>
              <w:t>2</w:t>
            </w:r>
            <w:r w:rsidR="00DA5149" w:rsidRPr="00981A65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164C43" w:rsidRPr="00981A65">
              <w:rPr>
                <w:rFonts w:ascii="GHEA Grapalat" w:hAnsi="GHEA Grapalat"/>
                <w:sz w:val="24"/>
                <w:szCs w:val="24"/>
              </w:rPr>
              <w:t>.5</w:t>
            </w:r>
            <w:r w:rsidR="00C61C6B" w:rsidRPr="00981A65">
              <w:rPr>
                <w:rFonts w:ascii="GHEA Grapalat" w:hAnsi="GHEA Grapalat"/>
                <w:sz w:val="24"/>
                <w:szCs w:val="24"/>
              </w:rPr>
              <w:t>-Ղ3-1)</w:t>
            </w:r>
            <w:r w:rsidRPr="00981A6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ED6921" w:rsidRPr="00981A65">
              <w:rPr>
                <w:rFonts w:ascii="GHEA Grapalat" w:eastAsia="Times New Roman" w:hAnsi="GHEA Grapalat"/>
                <w:iCs/>
                <w:sz w:val="24"/>
                <w:szCs w:val="24"/>
              </w:rPr>
              <w:t>Վարչության</w:t>
            </w:r>
            <w:proofErr w:type="spellEnd"/>
            <w:r w:rsidR="00ED6921" w:rsidRPr="00981A6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="00ED6921" w:rsidRPr="00981A65">
              <w:rPr>
                <w:rFonts w:ascii="GHEA Grapalat" w:eastAsia="Times New Roman" w:hAnsi="GHEA Grapalat"/>
                <w:iCs/>
                <w:sz w:val="24"/>
                <w:szCs w:val="24"/>
              </w:rPr>
              <w:t>պետն</w:t>
            </w:r>
            <w:proofErr w:type="spellEnd"/>
            <w:r w:rsidR="00ED6921" w:rsidRPr="00981A6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="00ED6921" w:rsidRPr="00981A65">
              <w:rPr>
                <w:rFonts w:ascii="GHEA Grapalat" w:eastAsia="Times New Roman" w:hAnsi="GHEA Grapalat"/>
                <w:iCs/>
                <w:sz w:val="24"/>
                <w:szCs w:val="24"/>
              </w:rPr>
              <w:t>անմիջական</w:t>
            </w:r>
            <w:proofErr w:type="spellEnd"/>
            <w:r w:rsidR="00ED6921" w:rsidRPr="00981A6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="00334754" w:rsidRPr="00981A65">
              <w:rPr>
                <w:rFonts w:ascii="GHEA Grapalat" w:eastAsia="Times New Roman" w:hAnsi="GHEA Grapalat"/>
                <w:iCs/>
                <w:sz w:val="24"/>
                <w:szCs w:val="24"/>
              </w:rPr>
              <w:t>ենթակա</w:t>
            </w:r>
            <w:proofErr w:type="spellEnd"/>
            <w:r w:rsidR="00334754" w:rsidRPr="00981A6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  </w:t>
            </w:r>
            <w:r w:rsidR="00ED6921" w:rsidRPr="00981A6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և </w:t>
            </w:r>
            <w:proofErr w:type="spellStart"/>
            <w:r w:rsidR="00ED6921" w:rsidRPr="00981A65">
              <w:rPr>
                <w:rFonts w:ascii="GHEA Grapalat" w:eastAsia="Times New Roman" w:hAnsi="GHEA Grapalat"/>
                <w:iCs/>
                <w:sz w:val="24"/>
                <w:szCs w:val="24"/>
              </w:rPr>
              <w:t>հաշվետու</w:t>
            </w:r>
            <w:proofErr w:type="spellEnd"/>
            <w:r w:rsidR="00ED6921" w:rsidRPr="00981A6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 է </w:t>
            </w:r>
            <w:proofErr w:type="spellStart"/>
            <w:r w:rsidR="00ED6921" w:rsidRPr="00981A65">
              <w:rPr>
                <w:rFonts w:ascii="GHEA Grapalat" w:eastAsia="Times New Roman" w:hAnsi="GHEA Grapalat"/>
                <w:iCs/>
                <w:sz w:val="24"/>
                <w:szCs w:val="24"/>
              </w:rPr>
              <w:t>Տեսչական</w:t>
            </w:r>
            <w:proofErr w:type="spellEnd"/>
            <w:r w:rsidR="00ED6921" w:rsidRPr="00981A6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="00ED6921" w:rsidRPr="00981A65">
              <w:rPr>
                <w:rFonts w:ascii="GHEA Grapalat" w:eastAsia="Times New Roman" w:hAnsi="GHEA Grapalat"/>
                <w:iCs/>
                <w:sz w:val="24"/>
                <w:szCs w:val="24"/>
              </w:rPr>
              <w:t>մարմնի</w:t>
            </w:r>
            <w:proofErr w:type="spellEnd"/>
            <w:r w:rsidR="00ED6921" w:rsidRPr="00981A6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="00ED6921" w:rsidRPr="00981A65">
              <w:rPr>
                <w:rFonts w:ascii="GHEA Grapalat" w:eastAsia="Times New Roman" w:hAnsi="GHEA Grapalat"/>
                <w:iCs/>
                <w:sz w:val="24"/>
                <w:szCs w:val="24"/>
              </w:rPr>
              <w:t>ղեկավարին</w:t>
            </w:r>
            <w:proofErr w:type="spellEnd"/>
            <w:r w:rsidR="00ED6921" w:rsidRPr="00981A6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. </w:t>
            </w:r>
            <w:r w:rsidRPr="00981A6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proofErr w:type="spellStart"/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</w:t>
            </w:r>
            <w:proofErr w:type="spellEnd"/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8C7304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proofErr w:type="spellEnd"/>
            <w:r w:rsidR="008C7304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C7304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պետին</w:t>
            </w:r>
            <w:proofErr w:type="spellEnd"/>
            <w:r w:rsidR="008C7304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="00ED6921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proofErr w:type="spellEnd"/>
            <w:r w:rsidR="00113C7C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13C7C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ենթակա</w:t>
            </w:r>
            <w:proofErr w:type="spellEnd"/>
            <w:r w:rsidR="00113C7C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113C7C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հաշվետու</w:t>
            </w:r>
            <w:proofErr w:type="spellEnd"/>
            <w:r w:rsidR="00113C7C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13C7C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են</w:t>
            </w:r>
            <w:proofErr w:type="spellEnd"/>
            <w:r w:rsidR="00113C7C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C7304" w:rsidRPr="00981A65">
              <w:rPr>
                <w:rFonts w:ascii="GHEA Grapalat" w:hAnsi="GHEA Grapalat"/>
                <w:sz w:val="24"/>
              </w:rPr>
              <w:t>Վարչության</w:t>
            </w:r>
            <w:proofErr w:type="spellEnd"/>
            <w:r w:rsidR="008C7304" w:rsidRPr="00981A6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9F7F62" w:rsidRPr="00981A65">
              <w:rPr>
                <w:rFonts w:ascii="GHEA Grapalat" w:hAnsi="GHEA Grapalat"/>
                <w:sz w:val="24"/>
              </w:rPr>
              <w:t>բաժն</w:t>
            </w:r>
            <w:r w:rsidR="008C7304" w:rsidRPr="00981A65">
              <w:rPr>
                <w:rFonts w:ascii="GHEA Grapalat" w:hAnsi="GHEA Grapalat"/>
                <w:sz w:val="24"/>
              </w:rPr>
              <w:t>ի</w:t>
            </w:r>
            <w:proofErr w:type="spellEnd"/>
            <w:r w:rsidR="008C7304" w:rsidRPr="00981A6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8C7304" w:rsidRPr="00981A65">
              <w:rPr>
                <w:rFonts w:ascii="GHEA Grapalat" w:hAnsi="GHEA Grapalat"/>
                <w:sz w:val="24"/>
              </w:rPr>
              <w:t>պետերը</w:t>
            </w:r>
            <w:proofErr w:type="spellEnd"/>
            <w:r w:rsidR="00AA4C3B" w:rsidRPr="00981A65">
              <w:rPr>
                <w:rFonts w:ascii="GHEA Grapalat" w:hAnsi="GHEA Grapalat"/>
                <w:sz w:val="24"/>
              </w:rPr>
              <w:t>.</w:t>
            </w:r>
            <w:r w:rsidRPr="00981A6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1.4. </w:t>
            </w:r>
            <w:proofErr w:type="spellStart"/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proofErr w:type="spellStart"/>
            <w:r w:rsidR="008C7304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proofErr w:type="spellEnd"/>
            <w:r w:rsidR="008C7304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C7304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պետի</w:t>
            </w:r>
            <w:proofErr w:type="spellEnd"/>
            <w:r w:rsidR="008C7304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="00AA4C3B" w:rsidRPr="00981A65">
              <w:rPr>
                <w:rFonts w:ascii="GHEA Grapalat" w:hAnsi="GHEA Grapalat"/>
                <w:sz w:val="24"/>
              </w:rPr>
              <w:t>բացակայության</w:t>
            </w:r>
            <w:proofErr w:type="spellEnd"/>
            <w:r w:rsidR="00AA4C3B" w:rsidRPr="00981A6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AA4C3B" w:rsidRPr="00981A65">
              <w:rPr>
                <w:rFonts w:ascii="GHEA Grapalat" w:hAnsi="GHEA Grapalat"/>
                <w:sz w:val="24"/>
              </w:rPr>
              <w:t>դեպքում</w:t>
            </w:r>
            <w:proofErr w:type="spellEnd"/>
            <w:r w:rsidR="00AA4C3B" w:rsidRPr="00981A6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AA4C3B" w:rsidRPr="00981A65">
              <w:rPr>
                <w:rFonts w:ascii="GHEA Grapalat" w:hAnsi="GHEA Grapalat"/>
                <w:sz w:val="24"/>
              </w:rPr>
              <w:t>նրան</w:t>
            </w:r>
            <w:proofErr w:type="spellEnd"/>
            <w:r w:rsidR="00AA4C3B" w:rsidRPr="00981A6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AA4C3B" w:rsidRPr="00981A65">
              <w:rPr>
                <w:rFonts w:ascii="GHEA Grapalat" w:hAnsi="GHEA Grapalat"/>
                <w:sz w:val="24"/>
              </w:rPr>
              <w:t>փոխարինում</w:t>
            </w:r>
            <w:proofErr w:type="spellEnd"/>
            <w:r w:rsidR="00AA4C3B" w:rsidRPr="00981A65">
              <w:rPr>
                <w:rFonts w:ascii="GHEA Grapalat" w:hAnsi="GHEA Grapalat"/>
                <w:sz w:val="24"/>
              </w:rPr>
              <w:t xml:space="preserve"> է </w:t>
            </w:r>
            <w:proofErr w:type="spellStart"/>
            <w:r w:rsidR="008C7304" w:rsidRPr="00981A65">
              <w:rPr>
                <w:rFonts w:ascii="GHEA Grapalat" w:hAnsi="GHEA Grapalat"/>
                <w:sz w:val="24"/>
              </w:rPr>
              <w:t>Վարչության</w:t>
            </w:r>
            <w:proofErr w:type="spellEnd"/>
            <w:r w:rsidR="008C7304" w:rsidRPr="00981A6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D70608">
              <w:rPr>
                <w:rFonts w:ascii="GHEA Grapalat" w:hAnsi="GHEA Grapalat"/>
                <w:sz w:val="24"/>
                <w:lang w:val="ru-RU"/>
              </w:rPr>
              <w:t>իրավաբանական</w:t>
            </w:r>
            <w:proofErr w:type="spellEnd"/>
            <w:r w:rsidR="00D70608" w:rsidRPr="00D7060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CC37A1" w:rsidRPr="00981A65">
              <w:rPr>
                <w:rFonts w:ascii="GHEA Grapalat" w:hAnsi="GHEA Grapalat"/>
                <w:sz w:val="24"/>
              </w:rPr>
              <w:t>բաժն</w:t>
            </w:r>
            <w:r w:rsidR="008C7304" w:rsidRPr="00981A65">
              <w:rPr>
                <w:rFonts w:ascii="GHEA Grapalat" w:hAnsi="GHEA Grapalat"/>
                <w:sz w:val="24"/>
              </w:rPr>
              <w:t>ի</w:t>
            </w:r>
            <w:proofErr w:type="spellEnd"/>
            <w:r w:rsidR="008C7304" w:rsidRPr="00981A6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851FCD" w:rsidRPr="00981A65">
              <w:rPr>
                <w:rFonts w:ascii="GHEA Grapalat" w:hAnsi="GHEA Grapalat"/>
                <w:sz w:val="24"/>
              </w:rPr>
              <w:t>պետ</w:t>
            </w:r>
            <w:r w:rsidR="008C7304" w:rsidRPr="00981A65">
              <w:rPr>
                <w:rFonts w:ascii="GHEA Grapalat" w:hAnsi="GHEA Grapalat"/>
                <w:sz w:val="24"/>
              </w:rPr>
              <w:t>ը</w:t>
            </w:r>
            <w:proofErr w:type="spellEnd"/>
            <w:r w:rsidR="00D70608" w:rsidRPr="00D7060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D70608">
              <w:rPr>
                <w:rFonts w:ascii="GHEA Grapalat" w:hAnsi="GHEA Grapalat"/>
                <w:sz w:val="24"/>
                <w:lang w:val="ru-RU"/>
              </w:rPr>
              <w:t>կամ</w:t>
            </w:r>
            <w:proofErr w:type="spellEnd"/>
            <w:r w:rsidR="00D70608" w:rsidRPr="00D7060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D70608">
              <w:rPr>
                <w:rFonts w:ascii="GHEA Grapalat" w:hAnsi="GHEA Grapalat"/>
                <w:sz w:val="24"/>
                <w:lang w:val="ru-RU"/>
              </w:rPr>
              <w:t>Վարչության</w:t>
            </w:r>
            <w:proofErr w:type="spellEnd"/>
            <w:r w:rsidR="00D70608" w:rsidRPr="00D7060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D70608">
              <w:rPr>
                <w:rFonts w:ascii="GHEA Grapalat" w:hAnsi="GHEA Grapalat"/>
                <w:sz w:val="24"/>
                <w:lang w:val="ru-RU"/>
              </w:rPr>
              <w:t>փաստաթղթաշրջանառության</w:t>
            </w:r>
            <w:proofErr w:type="spellEnd"/>
            <w:r w:rsidR="00D70608" w:rsidRPr="00D7060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D70608">
              <w:rPr>
                <w:rFonts w:ascii="GHEA Grapalat" w:hAnsi="GHEA Grapalat"/>
                <w:sz w:val="24"/>
                <w:lang w:val="ru-RU"/>
              </w:rPr>
              <w:t>բաժնի</w:t>
            </w:r>
            <w:proofErr w:type="spellEnd"/>
            <w:r w:rsidR="00D70608" w:rsidRPr="00D7060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D70608">
              <w:rPr>
                <w:rFonts w:ascii="GHEA Grapalat" w:hAnsi="GHEA Grapalat"/>
                <w:sz w:val="24"/>
                <w:lang w:val="ru-RU"/>
              </w:rPr>
              <w:t>պետը</w:t>
            </w:r>
            <w:proofErr w:type="spellEnd"/>
            <w:r w:rsidR="008C7304" w:rsidRPr="00981A65">
              <w:rPr>
                <w:rFonts w:ascii="GHEA Grapalat" w:hAnsi="GHEA Grapalat"/>
                <w:sz w:val="24"/>
              </w:rPr>
              <w:t>.</w:t>
            </w:r>
            <w:r w:rsidR="00BD6928" w:rsidRPr="00BD6928">
              <w:rPr>
                <w:rFonts w:ascii="GHEA Grapalat" w:hAnsi="GHEA Grapalat"/>
                <w:sz w:val="24"/>
              </w:rPr>
              <w:t xml:space="preserve"> </w:t>
            </w:r>
          </w:p>
          <w:p w:rsidR="003C5E15" w:rsidRPr="00981A65" w:rsidRDefault="003C5E15" w:rsidP="00C659F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7060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1.5. </w:t>
            </w:r>
            <w:proofErr w:type="spellStart"/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  <w:r w:rsidRPr="00D7060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7C5CD9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Հայաստան</w:t>
            </w:r>
            <w:proofErr w:type="spellEnd"/>
            <w:r w:rsidR="007C5CD9" w:rsidRPr="00D706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="007C5CD9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ք</w:t>
            </w:r>
            <w:r w:rsidR="007C5CD9" w:rsidRPr="00D706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="007C5CD9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Երևան</w:t>
            </w:r>
            <w:proofErr w:type="spellEnd"/>
            <w:r w:rsidR="007C5CD9" w:rsidRPr="00D706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="00082CFD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Արաբկ</w:t>
            </w:r>
            <w:r w:rsidR="00D369C0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իր</w:t>
            </w:r>
            <w:r w:rsidR="00D369C0" w:rsidRPr="00D706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D369C0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վարչական</w:t>
            </w:r>
            <w:r w:rsidR="00D369C0" w:rsidRPr="00D706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D369C0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շրջան</w:t>
            </w:r>
            <w:r w:rsidR="00D369C0" w:rsidRPr="00D706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DA5149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Կոմիտաս</w:t>
            </w:r>
            <w:proofErr w:type="spellEnd"/>
            <w:r w:rsidR="00DA5149" w:rsidRPr="00D706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49/</w:t>
            </w:r>
            <w:r w:rsidR="00DA5149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2</w:t>
            </w:r>
          </w:p>
        </w:tc>
      </w:tr>
      <w:tr w:rsidR="00981A65" w:rsidRPr="009050A2" w:rsidTr="001237C6">
        <w:trPr>
          <w:trHeight w:val="5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81A65" w:rsidRDefault="003C5E15" w:rsidP="00C659F2">
            <w:pPr>
              <w:pStyle w:val="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81A65">
              <w:rPr>
                <w:rFonts w:ascii="GHEA Grapalat" w:hAnsi="GHEA Grapalat"/>
                <w:b/>
                <w:sz w:val="24"/>
                <w:szCs w:val="24"/>
              </w:rPr>
              <w:t xml:space="preserve">2. </w:t>
            </w:r>
            <w:proofErr w:type="spellStart"/>
            <w:r w:rsidRPr="00981A65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981A6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7C5CD9" w:rsidRPr="00981A65" w:rsidRDefault="007C5CD9" w:rsidP="00C659F2">
            <w:pPr>
              <w:pStyle w:val="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D9" w:rsidRPr="00981A65" w:rsidRDefault="007C5CD9" w:rsidP="00C659F2">
            <w:pPr>
              <w:pStyle w:val="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981A65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proofErr w:type="spellStart"/>
            <w:r w:rsidR="003C5E15" w:rsidRPr="00981A65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="003C5E15" w:rsidRPr="00981A6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3C5E15" w:rsidRPr="00981A65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="003C5E15" w:rsidRPr="00981A65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3C5E15" w:rsidRPr="00981A65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="003C5E15" w:rsidRPr="00981A65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3C5E15" w:rsidRPr="00981A65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  <w:r w:rsidRPr="00981A6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00101D" w:rsidRPr="00981A65" w:rsidRDefault="0000101D" w:rsidP="00C659F2">
            <w:pPr>
              <w:pStyle w:val="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369C0" w:rsidRPr="00981A65" w:rsidRDefault="00D369C0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ապահովում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մշակված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նախագծերի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փորձաքննության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իրականաց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369C0" w:rsidRPr="00981A65" w:rsidRDefault="00D369C0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lastRenderedPageBreak/>
              <w:t>ապահովում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կառավարությունից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նախարարություններից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մարմիններից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ստացված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օրենքների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նախագծերի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կարծիքների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տրամադր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369C0" w:rsidRPr="00981A65" w:rsidRDefault="00D369C0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ապահովում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պաշտոնական պարզաբանումների նախագծերի վերաբերյալ եզրակացությունների տրամադր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981A6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369C0" w:rsidRPr="00981A65" w:rsidRDefault="00D369C0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ապահովում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ստուգման ակտերի նախագծերի վերաբերյալ առաջարկություների ներկայաց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369C0" w:rsidRPr="00981A65" w:rsidRDefault="00D369C0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ապահովում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 և ֆիզիկական անձանց կողմից ներկայացված դիմումներում բարձրացված հարցերի ուսումնասիրությ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 և դրա հիման վրա համապատասխան պատասխանատու ստորաբաժանումներին առաջարկությունների ներկայաց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ինչպես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նաև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դրանց վերաբերյալ պատասխանների նախագծերի կազմ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981A6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369C0" w:rsidRPr="00981A65" w:rsidRDefault="00D369C0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ապահովում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ստորաբաժանումներին իրավական աջակցության և խորհրդատվության տրամադր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981A6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369C0" w:rsidRPr="00981A65" w:rsidRDefault="00D369C0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Տեսչական մարմնին վերապահված իրավասությունների շրջանակներում Հայաստանի Հանրապետության դատական և այլ պետական մարմիններում Տեսչական մարմնի շահերի պաշտպանության իրականացման, անհրաժեշտ փաստաթղթերի կազմման աշխատանքները.</w:t>
            </w:r>
          </w:p>
          <w:p w:rsidR="00D369C0" w:rsidRPr="00981A65" w:rsidRDefault="00D369C0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վարչական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իրավախախտումների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գործերի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քննությանը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Վարչության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մասնակցությունը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ինչպես նաև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իրավախախտումների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գործերով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պատրաստման աշխատանքները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369C0" w:rsidRPr="00981A65" w:rsidRDefault="00E5541B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Տեսչական մարմնի անունից կնքվող պայմանագրերի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կազմման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Տեսչական մարմնի այլ ստորաբաժանումների կողմից ներկայացված պայմանագրերի վերաբերյալ իրավական եզրակացության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տրամադրման աշխատանքները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369C0" w:rsidRPr="00981A65" w:rsidRDefault="00E5541B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Տեսչական մարմնի ենթակայությանը հանձնված պետական ոչ առևտրային կազմակերպության նկատմամբ</w:t>
            </w:r>
            <w:r w:rsidR="00D369C0" w:rsidRPr="00981A65">
              <w:rPr>
                <w:sz w:val="24"/>
                <w:szCs w:val="24"/>
                <w:lang w:val="hy-AM"/>
              </w:rPr>
              <w:t xml:space="preserve">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Տեսչական մարմնի՝ որպես լիազորված պետական մարմնի կողմից կազմակերպության կառավարման իրականացման, լիազորությունների իրականացման կապված կազմակերպության գործունեության վերահսկողության իրականացման, կազմակերպության գործադիր մարմնի` Հայաստանի Հանրապետության օրենսդրության պահանջներին հակասող հրամանները, հրահանգները, կարգադրություններն ու ցուցումները կասեցնելու կամ ուժը կոցրած ճանաչելու և</w:t>
            </w:r>
            <w:r w:rsidR="000A44E5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այլն իրավական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ապահովման աշխատանքները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0A44E5" w:rsidRPr="00981A65" w:rsidRDefault="00AA44F3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 xml:space="preserve">իրականացնում է մեթոդական ղեկավարում </w:t>
            </w:r>
            <w:r w:rsidR="000A44E5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Տեսչական մարմնի ենթակայությանը հանձնված պետական ոչ առևտրային կազմակերպության իրավական գոր</w:t>
            </w:r>
            <w:r w:rsidR="00BD423B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ծ</w:t>
            </w:r>
            <w:r w:rsidR="000A44E5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ընթացների պատշաճ իրականացման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նկատմամբ.</w:t>
            </w:r>
          </w:p>
          <w:p w:rsidR="00D369C0" w:rsidRPr="00981A65" w:rsidRDefault="00E5541B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Եվրասիական տնտեսական հանձնաժովորի կողմից կազմակերպվող ոլորտային քննարկումներին, ինչպես նաև Եվրասիական տնտեսական հանձնաժողովի ոլորտային աշխատանքային խմբերին </w:t>
            </w:r>
            <w:r w:rsidR="00FB17E6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Վար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չության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մասնակցություն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և դիրքորոշման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ներկայացման աշխատանքները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369C0" w:rsidRPr="00981A65" w:rsidRDefault="00E5541B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Եվրասիական տնտեսական միության անդամակցությունից բխող իրավական ակտերի մշակմանը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Վարչության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մասնակցություն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369C0" w:rsidRPr="00981A65" w:rsidRDefault="00E5541B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Եվրասիական տնտեսական հանձնաժողովի, ինչպես նաև Եվրասիական տնտեսական միության անդամ երկրների կողմից ներկայացված օրենսդրական նախաձեռնությունների վերաբերյալ դիրքորոշման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ներկայացման աշխատանքները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369C0" w:rsidRPr="00981A65" w:rsidRDefault="00E5541B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Եվրասիական տնտեսական միության տարածքում ապրանքաշրջանառության ընթացքում պետական վերահսկողության շրջանակում ծագած խնդիրների վերաբերյալ իրավական պարզաբանումների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տրամադրման աշխատանքները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369C0" w:rsidRPr="00981A65" w:rsidRDefault="00E5541B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Տեսչական մարմնի կողմից իրականացվող պետական վերահսկողության ընթացքում ծագած իրավական հարցերի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պարզաբանումների տրամադրման աշխատանքները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369C0" w:rsidRPr="00981A65" w:rsidRDefault="00E5541B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Վարչության իրավասության սահմաններում Տեսչական մարմնի կողմից իրականացվող պետական  վերահսկողությանը և վարչական վարույթներին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Վարչության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մասնակցություն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,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ինչպես նաև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դրանց առնչվող փաստաթղթերի նախագծերի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նախապատրաստման աշխատանքները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369C0" w:rsidRPr="00981A65" w:rsidRDefault="00E5541B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սննդամթերքի և կերի անվտանգության, անասնաբուժության, բուսասանիտարիայի բնագավառների վերաբերյալ իրավական ակտերի նախագծերի կազմմանը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աջակցության ցուցաբերման և դրանց վերաբերյալ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առաջարկությունների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ներկայացման աշխատանքները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2741A8" w:rsidRPr="00981A65" w:rsidRDefault="00FB17E6" w:rsidP="002741A8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սննդամթերքի և կերի անվտանգության, անասնաբուժության և բուսասանիտարիայի ոլորտներում կնքվող միջազգային պայմանագրերի նախագծերի իրավական վավերության և ձևակերպումների ճշտության ստուգման աշխատանքները. </w:t>
            </w:r>
          </w:p>
          <w:p w:rsidR="002741A8" w:rsidRPr="00981A65" w:rsidRDefault="002741A8" w:rsidP="002741A8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գնումների կազմակերպման հետ կապված վարչական (կազմակերպչական) բնույթի գործառույթների իրականացման գործընթացում  աջակցության ցուցաբերման աշխատանքները.</w:t>
            </w:r>
          </w:p>
          <w:p w:rsidR="002741A8" w:rsidRPr="00981A65" w:rsidRDefault="002741A8" w:rsidP="002741A8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կազմակերպատնտեսական, ինչպես նաև Տեսչական մարմնի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կողմից ստուգումների տարեկան ծրագրով չնախատեսված ստուգումների անցկացման հետ կապված վարչական (կազմակերպչական) բնույթի գործառույթների իրականացման գործընթացում  աջակցության ցուցաբերման աշխատանքները.</w:t>
            </w:r>
          </w:p>
          <w:p w:rsidR="00FB17E6" w:rsidRPr="00981A65" w:rsidRDefault="00FB17E6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Տեսչական մարմնի ղեկավարի, նրա տեղակալների ստորագրությամբ ելից փաստաթղթերի վերաբերյալ առաջարկությունների ներկայացման և համաձայնեցման աշխատանքները. </w:t>
            </w:r>
          </w:p>
          <w:p w:rsidR="00D369C0" w:rsidRPr="00981A65" w:rsidRDefault="00735C38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մտից փաստաթղթերի գրանցման, համարակալման և թղթային, փոստային առաքման աշխատանքների իրականացում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D369C0" w:rsidRPr="00981A6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369C0" w:rsidRPr="00981A65" w:rsidRDefault="00735C38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ելից փաստաթղթերի համարակալման և թղթային, փոստային առաքման աշախատանքների իրականացում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D369C0" w:rsidRPr="00981A6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369C0" w:rsidRPr="00981A65" w:rsidRDefault="00735C38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 կողմից ստորագրված հրամանների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 աշխատանքները</w:t>
            </w:r>
            <w:r w:rsidR="00D369C0" w:rsidRPr="00981A6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935C4C" w:rsidRPr="00981A65" w:rsidRDefault="00735C38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արխիվ հանձնվող փաստաթղթերի հաշվառման և պահպանման </w:t>
            </w:r>
            <w:r w:rsidR="00314347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935C4C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314347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D369C0" w:rsidRPr="00981A65" w:rsidRDefault="00735C38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քաղաքացիների կողմից ստացված դիմումների, առաջարկությունների և բողոքների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գրանցման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առաքման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աշխատանքները</w:t>
            </w:r>
            <w:r w:rsidR="00D369C0" w:rsidRPr="00981A6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AA44F3" w:rsidRPr="00981A65" w:rsidRDefault="00735C38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Հանրապետության Նախագահի, Ազգային ժողովի, վարչապետի աշխատակազմերից ստացված հանձնարարականների, նախարարություններից և այլ պետական մարմիններից, կազմակերպություններից ստացված փաստաթղթերի փաստաթղթաշրջանառության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 աշխատանքները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735C38" w:rsidRPr="00981A65" w:rsidRDefault="00735C38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Խորհրդի նիստի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նյութերի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նախապատրաստման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արձանագրությունների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կազմման աշխատանքները</w:t>
            </w:r>
            <w:r w:rsidR="00D369C0" w:rsidRPr="00981A6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369C0" w:rsidRPr="00981A65" w:rsidRDefault="00735C38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Վարչությունում հաշվառված հանձնարարականների կատարման ընթացքի մասին Տեսչական մարմնի ղեկավարին ժամկետանց և կատարվելիք ամփոփաթերթերի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 աշխատանքները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369C0" w:rsidRPr="00981A65" w:rsidRDefault="00735C38" w:rsidP="00520F1A">
            <w:pPr>
              <w:pStyle w:val="a5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մեկ ամսվա կտրվածքով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արչությունում հաշվառված հանձնարականների կատարման ընթացքի մասին վերլուծական տեղեկանքի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տրամադրումը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ղեկավարին.</w:t>
            </w:r>
          </w:p>
          <w:p w:rsidR="007C5CD9" w:rsidRPr="00981A65" w:rsidRDefault="007C5CD9" w:rsidP="00164C43">
            <w:pPr>
              <w:pStyle w:val="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981A65" w:rsidRDefault="007C5CD9" w:rsidP="00C659F2">
            <w:pPr>
              <w:pStyle w:val="a5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DC5D33" w:rsidRPr="00981A65" w:rsidRDefault="00DC5D33" w:rsidP="00C659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A1EC6" w:rsidRPr="00981A65" w:rsidRDefault="004A1EC6" w:rsidP="00314347">
            <w:pPr>
              <w:pStyle w:val="a5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Վարչության իրավասությանը վերապահված ոլորտին առնչվող ծրագրերի, </w:t>
            </w:r>
            <w:r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 xml:space="preserve">նախագծերի մշակման </w:t>
            </w:r>
            <w:r w:rsidR="00735D06"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աշխատանքների ընթացքում</w:t>
            </w:r>
            <w:r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</w:t>
            </w:r>
            <w:r w:rsidR="00735D06"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վերաբերյալ </w:t>
            </w:r>
            <w:r w:rsidR="004D0C63"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մասնագիտական </w:t>
            </w:r>
            <w:r w:rsidR="004D0C63"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դիրքորոշում, կարծիքներ, առաջարկություններ, առարկություններ</w:t>
            </w:r>
            <w:r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0C8B" w:rsidRPr="00981A65" w:rsidRDefault="00110C8B" w:rsidP="00314347">
            <w:pPr>
              <w:pStyle w:val="a5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մարմնի իրավասությանը վերապահված </w:t>
            </w: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ոլորտների առանձին իրավակարգավորումների վերաբերյալ միջազգային փորձի ուսումնասիրության և դրա հիմա վրա օրենսդրությունում առկա բացերի, թերությունների վերացման և օրենսդրության կատարելագործման վերաբերյալ </w:t>
            </w:r>
            <w:r w:rsidR="004D0C63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ներկայացնել առաջարկություններ.</w:t>
            </w: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:rsidR="004A1EC6" w:rsidRPr="00981A65" w:rsidRDefault="004A1EC6" w:rsidP="00314347">
            <w:pPr>
              <w:pStyle w:val="a5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Վարչության բաժինների պետերից իրանց իրավասությանը վերապահված ոլորտում իրականացվող աշխատանքների վերաբերյալ </w:t>
            </w:r>
            <w:r w:rsidR="00B80C7A"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պահանջել</w:t>
            </w:r>
            <w:r w:rsidR="004D0C63"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հաշվետվություններ, զեկուցագրեր, անհրաժեշտ փաստաթղթեր</w:t>
            </w:r>
            <w:r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981A65" w:rsidRDefault="00A30269" w:rsidP="00314347">
            <w:pPr>
              <w:pStyle w:val="a5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="00775518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գործունեությանն առնչվող պայմանագրերի, համաձայնագրերի, լիազորագրերի, հանձնարարականների և այլ փ</w:t>
            </w:r>
            <w:r w:rsidR="00D70608">
              <w:rPr>
                <w:rFonts w:ascii="GHEA Grapalat" w:hAnsi="GHEA Grapalat" w:cs="Sylfaen"/>
                <w:sz w:val="24"/>
                <w:szCs w:val="24"/>
                <w:lang w:val="hy-AM"/>
              </w:rPr>
              <w:t>աստաթղթ</w:t>
            </w:r>
            <w:r w:rsidR="00775518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երի նախագծերի մշակման աշխատանքների իրականացման </w:t>
            </w:r>
            <w:r w:rsidR="004D0C63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նպատակով </w:t>
            </w:r>
            <w:r w:rsidR="009B374A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անցկացնել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և մասնագիտական </w:t>
            </w:r>
            <w:r w:rsidR="00F55B09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</w:t>
            </w:r>
            <w:r w:rsidR="00DA5149"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981A65" w:rsidRDefault="00A30269" w:rsidP="00314347">
            <w:pPr>
              <w:pStyle w:val="a5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="00775518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կառուցվածքային ստորաբաժանումներից, այլ մարմիններից, պաշտոնատար անձանցից </w:t>
            </w:r>
            <w:r w:rsidR="00244414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775518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առջև դրված գործառույթների և խնդիրների իրականացման հետ կապված անհրաժեշտ </w:t>
            </w:r>
            <w:r w:rsidR="004A1EC6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="00775518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 և նյութեր</w:t>
            </w:r>
            <w:r w:rsidR="00DA5149"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981A65" w:rsidRDefault="00775518" w:rsidP="00314347">
            <w:pPr>
              <w:pStyle w:val="a5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առջև դրված խնդիրների և գործառույթների իրականացման հետ կապված </w:t>
            </w:r>
            <w:r w:rsidR="004D0C63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հրավիրել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</w:t>
            </w:r>
            <w:r w:rsidR="00A30269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4D0C63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A30269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իրավասությանը վերապահված խնդիրների, գործառույթների հետ կապված խորհրդակցություններին և քննարկումներին</w:t>
            </w:r>
            <w:r w:rsidR="00DC5D33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քննարկվող հարցերի շուրջ </w:t>
            </w:r>
            <w:r w:rsidR="004D0C63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="00A30269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առաջարկություններ</w:t>
            </w:r>
            <w:r w:rsidR="00624A4D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DC5D33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:rsidR="00775518" w:rsidRPr="00981A65" w:rsidRDefault="00775518" w:rsidP="00C659F2">
            <w:pPr>
              <w:spacing w:after="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7C5CD9" w:rsidRPr="00981A65" w:rsidRDefault="007C5CD9" w:rsidP="00C659F2">
            <w:pPr>
              <w:pStyle w:val="a5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7C5CD9" w:rsidRPr="00981A65" w:rsidRDefault="007C5CD9" w:rsidP="00C659F2">
            <w:pPr>
              <w:pStyle w:val="a5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D73A58" w:rsidRPr="00981A65" w:rsidRDefault="007D226A" w:rsidP="00314347">
            <w:pPr>
              <w:pStyle w:val="a5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 Տեսչական մարմնի ենթակայությամբ գործող պետական ոչ առևտրային կազմակերպության (ՀԱԲԼԾԿ ՊՈԱԿ) գործադիր մարմնի կողմից ընդունված հրամանները, հրահանգները, կարգադրությունները, ցուցումները և այլ իրավական ակտերը, օրենսդրության խախտումներ, օրենսդրության պահանջներին հակասող իրավական ակտեր, դրույթներ հայտնաբերելու դեպքում մշակել օրենսդրության պահանջներին  հակասող գործող իրավական ակտերի կամ դրանցում առկա դրույթների </w:t>
            </w:r>
            <w:r w:rsidR="00520F1A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դադարեցման կամ ուժը կորցրած ճանաչելուն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 նախագիծ և ներկայացնել Տեսչական մարմնի ղեկավարին.</w:t>
            </w:r>
          </w:p>
          <w:p w:rsidR="00805967" w:rsidRPr="00981A65" w:rsidRDefault="005A576A" w:rsidP="00314347">
            <w:pPr>
              <w:pStyle w:val="a5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ուսումնասիրել </w:t>
            </w:r>
            <w:r w:rsidR="007D226A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ՀԱԲԼԾԿ ՊՈԱԿ-ի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գործադիր մարմնի կողմից մշակված </w:t>
            </w:r>
            <w:r w:rsidR="00805967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հրամանների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502116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հրահանգների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502116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կարգադրությունների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502116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ցուցումների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այլ իրավական </w:t>
            </w:r>
            <w:r w:rsidR="00502116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ակտերի </w:t>
            </w:r>
            <w:r w:rsidR="00805967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նախագծերը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օրենսդրության պահանջներին հակասող դրույթներ հայտնաբերելու դեպքում </w:t>
            </w:r>
            <w:r w:rsidR="00805967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նախաձեռնել դրանց </w:t>
            </w:r>
            <w:r w:rsidR="00520F1A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դադարեցման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կամ ուժը կորցրած ճանաչել</w:t>
            </w:r>
            <w:r w:rsidR="00805967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ու գործընթացը՝ մշակելով դրա վերաբերյալ համապատասխան առաջարկություններով և հիմնավորումներով իրավական ակտի նախագիծ և ներկայացնելով Տեսչական մարմնի ղեկավարին</w:t>
            </w:r>
            <w:r w:rsidR="000A44E5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7D226A" w:rsidRPr="00981A65" w:rsidRDefault="00604B11" w:rsidP="00314347">
            <w:pPr>
              <w:pStyle w:val="a5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ենթակայությամբ գործող պետական ոչ առևտրային կազմակերպության </w:t>
            </w:r>
            <w:r w:rsidR="000937AE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շահերի ապահովման նպատակով, վերջինիս տրված գործառույթներին առնչվող գործերով լիազորագրի հիման վրա Հայաստանի Հանրապետության դատարաններում հանդես գալ որպես հայցվոր և պատասխանող՝ ապահովելով վերջինիս դատական ներկայացուցչությունը և իրականացնելով դատավարական անհրաժեշտ գործողություններ.</w:t>
            </w:r>
          </w:p>
          <w:p w:rsidR="000937AE" w:rsidRPr="00981A65" w:rsidRDefault="001F5D6B" w:rsidP="00314347">
            <w:pPr>
              <w:pStyle w:val="a5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 Տեսչական մարմնի ենթակայությամբ գործող պետական ոչ առևտրային կազմակերպության գործառույթների, վերջինիս վերապահված լիազորությունների կատարումն ապահովող իրավական ակտերի նախագծեր.</w:t>
            </w:r>
          </w:p>
          <w:p w:rsidR="00805967" w:rsidRPr="00981A65" w:rsidRDefault="00805967" w:rsidP="00314347">
            <w:pPr>
              <w:pStyle w:val="a5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ենթակայությամբ գործող պետական ոչ առևտրային կազմակերպության գործադիր մարմնի կողմից կնքված պայմանագրերի առնչությամբ </w:t>
            </w:r>
            <w:r w:rsidR="005A576A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A576A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իրավական-փորձագիտական եզրակացություն և  ստուգել դրանց իրավական վավերությունը և ճշգրտությունը,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օրենսդրության պահանջներին հակասող դրույթներ հայտնաբերելու դեպքում տալ դրանց վերացմանն ուղղված համապատասխան ցուցումներ.</w:t>
            </w:r>
          </w:p>
          <w:p w:rsidR="005A576A" w:rsidRPr="00981A65" w:rsidRDefault="005A576A" w:rsidP="00314347">
            <w:pPr>
              <w:pStyle w:val="a5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ամփոփել ՊՈԱԿ-ի գործունեության իրավական պրակտիկան, ներկայացնել համապատասխան հանձնարարականներ օրենսդրության բացերի վերացման</w:t>
            </w:r>
            <w:r w:rsidR="001A34A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, հակասությունների կարգավորման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իրավակիրառ պրակտիկայի կատարելագործման առնչությամբ. </w:t>
            </w:r>
          </w:p>
          <w:p w:rsidR="00805967" w:rsidRPr="00981A65" w:rsidRDefault="00805967" w:rsidP="00314347">
            <w:pPr>
              <w:pStyle w:val="a5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ենթակայությանը հանձնված պետական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սեփականության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պահպանության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իրականացման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իսկ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հիմնադրի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որոշմամբ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կանոնադրությամբ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նախատեսված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գույքի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օտարման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վարձակալության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հանձնման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 Տեսչական մարմնի կողմից տրամադրվող համաձայնությունների վերաբերյալ տալ իրավական-փորձագիտական եզրակացություն.</w:t>
            </w:r>
          </w:p>
          <w:p w:rsidR="00A30269" w:rsidRPr="00981A65" w:rsidRDefault="004D0C63" w:rsidP="00314347">
            <w:pPr>
              <w:pStyle w:val="a5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="00A30269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լիազորությունների շրջանակներում առաջարկությունների, հաշվետվությունների, տեղեկանքների, միջնորդագրերի, զեկուցագրերի և այլ գրությունների նախապատրաստման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աշխատանքներին, անհրաժեշտության դեպքում, ցուցաբերել </w:t>
            </w:r>
            <w:r w:rsidR="005E02C7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իրավական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աջակցություն</w:t>
            </w:r>
            <w:r w:rsidR="00624A4D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E041FD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63708A" w:rsidRPr="00981A65" w:rsidRDefault="0063708A" w:rsidP="00314347">
            <w:pPr>
              <w:pStyle w:val="a5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Տեսչական մարմնի կողմից մշակված իրավական ակտերի նախագծերի վերաբերյալ տրամադրել մասնագիտական  եզրակացություններ. </w:t>
            </w:r>
          </w:p>
          <w:p w:rsidR="00314347" w:rsidRPr="00981A65" w:rsidRDefault="00314347" w:rsidP="00314347">
            <w:pPr>
              <w:pStyle w:val="a5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իրեն տրված լիազորությունների հիման վրա և Տեսչական մարմնին վերապահված իրավասությունների շրջանակներում այլ մարմիններում պաշտպանել  </w:t>
            </w:r>
            <w:r w:rsidR="00735D06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շահերը</w:t>
            </w:r>
            <w:r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44EE3" w:rsidRPr="00981A65" w:rsidRDefault="0063708A" w:rsidP="00314347">
            <w:pPr>
              <w:pStyle w:val="a5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ամփոփել </w:t>
            </w:r>
            <w:r w:rsidR="00544EE3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մասնակցությամբ դատական պրակտիկայի աշխատանքներ</w:t>
            </w:r>
            <w:r w:rsidR="00D67FC5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, Տեսչական մարմնի ղեկավարին ներկայացնել մասնագիտական առաջարկություններ, եզրակացություններ այդ աշխատանքների կատարելագործման, առավել բարձր արդյունքների գրանցման վերաբերյալ</w:t>
            </w:r>
            <w:r w:rsidR="00544EE3"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</w:p>
          <w:p w:rsidR="00544EE3" w:rsidRPr="00981A65" w:rsidRDefault="00544EE3" w:rsidP="00314347">
            <w:pPr>
              <w:pStyle w:val="a5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Վարչություն հասցեագրված դիմում-բողոքների կապակցությամբ Հայաստանի Հանրապետության օրենսդրությամբ սահմանված կարգով և դեպքերում</w:t>
            </w:r>
            <w:r w:rsidR="00D67FC5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6D4790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մասնակցել </w:t>
            </w: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վարչական </w:t>
            </w:r>
            <w:r w:rsidR="00D67FC5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վարույթներ</w:t>
            </w:r>
            <w:r w:rsidR="006D4790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ին</w:t>
            </w: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, </w:t>
            </w:r>
            <w:r w:rsidR="006D4790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կազմակերպված</w:t>
            </w:r>
            <w:r w:rsidR="00D67FC5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վարչական </w:t>
            </w:r>
            <w:r w:rsidR="00D67FC5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լսումներ</w:t>
            </w:r>
            <w:r w:rsidR="006D4790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ին</w:t>
            </w: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, Տեսչական մարմին դիմած քաղաքացիներին </w:t>
            </w:r>
            <w:r w:rsidR="00D67FC5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տրամադրել </w:t>
            </w: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իրավաբանական </w:t>
            </w:r>
            <w:r w:rsidR="00D67FC5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խորհրդատվություն</w:t>
            </w:r>
            <w:r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07823" w:rsidRPr="00981A65" w:rsidRDefault="00107823" w:rsidP="00314347">
            <w:pPr>
              <w:pStyle w:val="a5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և կերի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բնագավառները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կարգավորող</w:t>
            </w:r>
            <w:r w:rsidR="00D67FC5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Հայա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u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տանի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o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րեն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u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դրության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հակա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u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ող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ակտերը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67FC5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իրականացնել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համապատասխան ուսումնասիրություններ</w:t>
            </w:r>
            <w:r w:rsidR="00624A4D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7A14F0" w:rsidRPr="00981A65" w:rsidRDefault="00D67FC5" w:rsidP="00314347">
            <w:pPr>
              <w:pStyle w:val="a5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81A65">
              <w:rPr>
                <w:rFonts w:ascii="GHEA Grapalat" w:eastAsia="Sylfaen" w:hAnsi="GHEA Grapalat" w:cs="Sylfaen"/>
                <w:sz w:val="24"/>
                <w:lang w:val="hy-AM"/>
              </w:rPr>
              <w:t xml:space="preserve">ուսումնասիրել </w:t>
            </w:r>
            <w:r w:rsidR="007A14F0" w:rsidRPr="00981A65"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981A6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981A6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981A6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981A6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981A6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981A6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981A6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81A65">
              <w:rPr>
                <w:rFonts w:ascii="GHEA Grapalat" w:eastAsia="Sylfaen" w:hAnsi="GHEA Grapalat" w:cs="Sylfaen"/>
                <w:sz w:val="24"/>
                <w:lang w:val="hy-AM"/>
              </w:rPr>
              <w:t>ակտեր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0E6D5F" w:rsidRPr="00981A65" w:rsidRDefault="00D67FC5" w:rsidP="00314347">
            <w:pPr>
              <w:pStyle w:val="a5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</w:t>
            </w:r>
            <w:r w:rsidR="00565E31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և կերի</w:t>
            </w:r>
            <w:r w:rsidR="00565E31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565E31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 անասնաբուժության և բուսասանիտարիայի</w:t>
            </w:r>
            <w:r w:rsidR="00565E31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251AF0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ոլորտներում </w:t>
            </w:r>
            <w:r w:rsidR="0094339A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կնքվող </w:t>
            </w:r>
            <w:r w:rsidR="00251AF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="00251AF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251AF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պայմանագրերի</w:t>
            </w:r>
            <w:r w:rsidR="00251AF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251AF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="00251AF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F41714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իրավ</w:t>
            </w:r>
            <w:r w:rsidR="00251AF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ական</w:t>
            </w:r>
            <w:r w:rsidR="006D479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վավերությունը</w:t>
            </w:r>
            <w:r w:rsidR="00251AF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. </w:t>
            </w:r>
          </w:p>
          <w:p w:rsidR="00251AF0" w:rsidRPr="00981A65" w:rsidRDefault="00D67FC5" w:rsidP="00314347">
            <w:pPr>
              <w:pStyle w:val="a5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հետևել </w:t>
            </w:r>
            <w:r w:rsidR="00624A4D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Տեսչական մարմնի</w:t>
            </w:r>
            <w:r w:rsidR="00775518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գործունեությանն առնչվող պայմանագրերի, համաձայնագրերի, լիազորագրերի, հանձնարարականների և այլ փաստաթղթղերի նախագծերի </w:t>
            </w:r>
            <w:r w:rsidR="005D4E53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մշակման</w:t>
            </w: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աշխատանքներին, օրենսդրության պահանջների խախտումներ հայտնաբերելու դեպքում պահանջել անհապաղ վերացնել դրանք</w:t>
            </w:r>
            <w:r w:rsidR="00624A4D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0E6D5F" w:rsidRPr="00981A65" w:rsidRDefault="000E6D5F" w:rsidP="00314347">
            <w:pPr>
              <w:pStyle w:val="a5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իրավասության վերապահված ոլորտները կարգավորող իրավական ակտերի դրույթների կիրառման վերաբերյալ տալ պարզաբանումներ</w:t>
            </w:r>
            <w:r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981A65" w:rsidRDefault="00AE50FF" w:rsidP="00314347">
            <w:pPr>
              <w:pStyle w:val="a5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օրենքների և իրավական այլ ակտերի համաձայն ուսումնասիրել քաղաքացիների, կազմակերպությունների, պետական և տեղական ինքնակառավարման մարմինների բողոքներն ու դիմումները և մասնակցել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դրանց ընթացք տալու աշխատանքներին</w:t>
            </w:r>
            <w:r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981A65" w:rsidRPr="00981A65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17FCE" w:rsidRDefault="003C5E15" w:rsidP="00C659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81A6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81A6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81A6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  <w:r w:rsidR="00417FCE" w:rsidRPr="00417FC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 </w:t>
            </w:r>
          </w:p>
          <w:p w:rsidR="0000101D" w:rsidRPr="00417FCE" w:rsidRDefault="003C5E15" w:rsidP="00C659F2">
            <w:pPr>
              <w:pStyle w:val="a3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</w:rPr>
            </w:pPr>
            <w:r w:rsidRPr="00981A65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417FCE" w:rsidRPr="00417FCE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417FCE">
              <w:rPr>
                <w:rFonts w:ascii="GHEA Grapalat" w:hAnsi="GHEA Grapalat" w:cs="Sylfaen"/>
                <w:b/>
              </w:rPr>
              <w:t xml:space="preserve"> </w:t>
            </w:r>
            <w:bookmarkStart w:id="0" w:name="_GoBack"/>
            <w:bookmarkEnd w:id="0"/>
          </w:p>
          <w:tbl>
            <w:tblPr>
              <w:tblStyle w:val="aa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9050A2" w:rsidRPr="00F5445B" w:rsidTr="00A24809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3674CB" w:rsidRDefault="009050A2" w:rsidP="00A24809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3674CB" w:rsidRDefault="009050A2" w:rsidP="00A24809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3674CB" w:rsidRDefault="009050A2" w:rsidP="00A24809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9050A2" w:rsidRPr="00F5445B" w:rsidTr="00A24809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3674CB" w:rsidRDefault="009050A2" w:rsidP="00A24809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3674CB" w:rsidRDefault="009050A2" w:rsidP="00A24809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775629" w:rsidRDefault="009050A2" w:rsidP="00A24809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 xml:space="preserve">Իրավունք </w:t>
                  </w:r>
                </w:p>
              </w:tc>
            </w:tr>
            <w:tr w:rsidR="009050A2" w:rsidRPr="00F5445B" w:rsidTr="00A24809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3674CB" w:rsidRDefault="009050A2" w:rsidP="00A24809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3674CB" w:rsidRDefault="009050A2" w:rsidP="00A24809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775629" w:rsidRDefault="009050A2" w:rsidP="00A24809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9050A2" w:rsidRPr="00F5445B" w:rsidTr="00A24809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3674CB" w:rsidRDefault="009050A2" w:rsidP="00A24809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A2" w:rsidRPr="003674CB" w:rsidRDefault="009050A2" w:rsidP="00A24809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A2" w:rsidRPr="00775629" w:rsidRDefault="009050A2" w:rsidP="00A24809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 w:cs="GHEA Grapalat"/>
                      <w:lang w:val="hy-AM"/>
                    </w:rPr>
                    <w:t xml:space="preserve">042101.00.6 </w:t>
                  </w: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Իրավագիտություն</w:t>
                  </w:r>
                </w:p>
              </w:tc>
            </w:tr>
          </w:tbl>
          <w:p w:rsidR="00082CFD" w:rsidRPr="009050A2" w:rsidRDefault="00082CFD" w:rsidP="00082CFD">
            <w:pPr>
              <w:pStyle w:val="a3"/>
              <w:spacing w:before="0" w:beforeAutospacing="0" w:after="0" w:afterAutospacing="0" w:line="276" w:lineRule="auto"/>
              <w:rPr>
                <w:rFonts w:ascii="GHEA Grapalat" w:hAnsi="GHEA Grapalat"/>
                <w:b/>
              </w:rPr>
            </w:pPr>
          </w:p>
          <w:p w:rsidR="008E696F" w:rsidRPr="00981A65" w:rsidRDefault="003C5E15" w:rsidP="00082CFD">
            <w:pPr>
              <w:pStyle w:val="a3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81A65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81A65">
              <w:rPr>
                <w:rFonts w:ascii="GHEA Grapalat" w:hAnsi="GHEA Grapalat"/>
                <w:lang w:val="hy-AM"/>
              </w:rPr>
              <w:br/>
            </w:r>
            <w:r w:rsidRPr="00981A65">
              <w:rPr>
                <w:rFonts w:ascii="GHEA Grapalat" w:hAnsi="GHEA Grapalat" w:cs="Sylfaen"/>
                <w:lang w:val="hy-AM"/>
              </w:rPr>
              <w:t>Ունի</w:t>
            </w:r>
            <w:r w:rsidRPr="00981A65">
              <w:rPr>
                <w:rFonts w:ascii="GHEA Grapalat" w:hAnsi="GHEA Grapalat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81A65">
              <w:rPr>
                <w:rFonts w:ascii="GHEA Grapalat" w:hAnsi="GHEA Grapalat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lang w:val="hy-AM"/>
              </w:rPr>
              <w:t>իրականացման</w:t>
            </w:r>
            <w:r w:rsidRPr="00981A65">
              <w:rPr>
                <w:rFonts w:ascii="GHEA Grapalat" w:hAnsi="GHEA Grapalat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lang w:val="hy-AM"/>
              </w:rPr>
              <w:t>համար</w:t>
            </w:r>
            <w:r w:rsidRPr="00981A65">
              <w:rPr>
                <w:rFonts w:ascii="GHEA Grapalat" w:hAnsi="GHEA Grapalat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lang w:val="hy-AM"/>
              </w:rPr>
              <w:t>անհրաժեշտ</w:t>
            </w:r>
            <w:r w:rsidRPr="00981A65">
              <w:rPr>
                <w:rFonts w:ascii="GHEA Grapalat" w:hAnsi="GHEA Grapalat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lang w:val="hy-AM"/>
              </w:rPr>
              <w:t>գիտելիքներ</w:t>
            </w:r>
            <w:r w:rsidRPr="00981A65">
              <w:rPr>
                <w:rFonts w:ascii="GHEA Grapalat" w:hAnsi="GHEA Grapalat"/>
                <w:lang w:val="hy-AM"/>
              </w:rPr>
              <w:br/>
            </w:r>
            <w:r w:rsidRPr="00981A65">
              <w:rPr>
                <w:rFonts w:ascii="GHEA Grapalat" w:hAnsi="GHEA Grapalat"/>
                <w:b/>
                <w:lang w:val="hy-AM"/>
              </w:rPr>
              <w:t>3.3.</w:t>
            </w:r>
            <w:r w:rsidRPr="00981A65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81A65">
              <w:rPr>
                <w:rFonts w:ascii="GHEA Grapalat" w:hAnsi="GHEA Grapalat"/>
                <w:lang w:val="hy-AM"/>
              </w:rPr>
              <w:br/>
            </w:r>
            <w:r w:rsidR="00775518" w:rsidRPr="00981A65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E6052F" w:rsidRPr="00981A65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851FCD" w:rsidRPr="00981A65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981A65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E6D5F" w:rsidRPr="00981A65">
              <w:rPr>
                <w:rFonts w:ascii="GHEA Grapalat" w:hAnsi="GHEA Grapalat" w:cs="Sylfaen"/>
                <w:lang w:val="hy-AM"/>
              </w:rPr>
              <w:t xml:space="preserve">իրավունքի </w:t>
            </w:r>
            <w:r w:rsidR="00775518" w:rsidRPr="00981A65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51FCD" w:rsidRPr="00981A65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981A65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851FCD" w:rsidRPr="00981A65">
              <w:rPr>
                <w:rFonts w:ascii="GHEA Grapalat" w:hAnsi="GHEA Grapalat" w:cs="Sylfaen"/>
                <w:lang w:val="hy-AM"/>
              </w:rPr>
              <w:t xml:space="preserve"> </w:t>
            </w:r>
            <w:r w:rsidRPr="00981A65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81A65" w:rsidRDefault="008E696F" w:rsidP="00C659F2">
            <w:pPr>
              <w:pStyle w:val="a3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81A65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81A65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81A65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81A65">
              <w:rPr>
                <w:rFonts w:ascii="GHEA Grapalat" w:hAnsi="GHEA Grapalat" w:cs="Sylfaen"/>
                <w:b/>
              </w:rPr>
              <w:t>՝</w:t>
            </w:r>
          </w:p>
          <w:p w:rsidR="0000101D" w:rsidRPr="00981A65" w:rsidRDefault="0000101D" w:rsidP="00C659F2">
            <w:pPr>
              <w:pStyle w:val="a5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proofErr w:type="spellEnd"/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981A65" w:rsidRDefault="0000101D" w:rsidP="00C659F2">
            <w:pPr>
              <w:pStyle w:val="a5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  <w:proofErr w:type="spellEnd"/>
          </w:p>
          <w:p w:rsidR="0000101D" w:rsidRPr="00981A65" w:rsidRDefault="0000101D" w:rsidP="00C659F2">
            <w:pPr>
              <w:pStyle w:val="a5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proofErr w:type="spellEnd"/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  <w:proofErr w:type="spellEnd"/>
          </w:p>
          <w:p w:rsidR="0000101D" w:rsidRPr="00981A65" w:rsidRDefault="0000101D" w:rsidP="00C659F2">
            <w:pPr>
              <w:pStyle w:val="a5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981A65" w:rsidRDefault="0000101D" w:rsidP="00C659F2">
            <w:pPr>
              <w:pStyle w:val="a5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8E696F" w:rsidRPr="00981A65" w:rsidRDefault="0000101D" w:rsidP="00082CFD">
            <w:pPr>
              <w:pStyle w:val="a5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81A65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81A65" w:rsidRDefault="008E696F" w:rsidP="00C659F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81A65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81A65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81A65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81A65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81A65" w:rsidRDefault="00531B09" w:rsidP="00C659F2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81A65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81A6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81A65" w:rsidRDefault="00531B09" w:rsidP="00C659F2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81A65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981A6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81A65" w:rsidRDefault="00531B09" w:rsidP="00C659F2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81A65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81A6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81A65" w:rsidRDefault="00531B09" w:rsidP="00C659F2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81A65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81A6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81A65" w:rsidRDefault="00531B09" w:rsidP="00C659F2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81A65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81A6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81A65" w:rsidRDefault="00531B09" w:rsidP="00C659F2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81A65">
              <w:rPr>
                <w:rFonts w:ascii="GHEA Grapalat" w:hAnsi="GHEA Grapalat"/>
                <w:sz w:val="24"/>
              </w:rPr>
              <w:t>Ելույթների</w:t>
            </w:r>
            <w:proofErr w:type="spellEnd"/>
            <w:r w:rsidRPr="00981A6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/>
                <w:sz w:val="24"/>
              </w:rPr>
              <w:t>նախապատրաստում</w:t>
            </w:r>
            <w:proofErr w:type="spellEnd"/>
            <w:r w:rsidRPr="00981A65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981A65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</w:p>
          <w:p w:rsidR="003C5E15" w:rsidRPr="00981A65" w:rsidRDefault="00531B09" w:rsidP="00C659F2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81A65">
              <w:rPr>
                <w:rFonts w:ascii="GHEA Grapalat" w:hAnsi="GHEA Grapalat"/>
                <w:sz w:val="24"/>
              </w:rPr>
              <w:t>Ժողովների</w:t>
            </w:r>
            <w:proofErr w:type="spellEnd"/>
            <w:r w:rsidRPr="00981A65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981A65">
              <w:rPr>
                <w:rFonts w:ascii="GHEA Grapalat" w:hAnsi="GHEA Grapalat"/>
                <w:sz w:val="24"/>
              </w:rPr>
              <w:t>խորհրդակցությունների</w:t>
            </w:r>
            <w:proofErr w:type="spellEnd"/>
            <w:r w:rsidRPr="00981A6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81A65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  <w:r w:rsidRPr="00981A65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981A65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</w:tc>
      </w:tr>
      <w:tr w:rsidR="00981A65" w:rsidRPr="009050A2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81A65" w:rsidRDefault="003C5E15" w:rsidP="00C659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81A6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43050E" w:rsidRPr="00981A65" w:rsidRDefault="0043050E" w:rsidP="00C659F2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Աշխատանքի</w:t>
            </w:r>
            <w:proofErr w:type="spellEnd"/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proofErr w:type="spellEnd"/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</w:t>
            </w:r>
            <w:proofErr w:type="spellEnd"/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</w:p>
          <w:p w:rsidR="00082CFD" w:rsidRPr="00D70608" w:rsidRDefault="0000101D" w:rsidP="00082CFD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43050E" w:rsidRPr="00981A65" w:rsidRDefault="0043050E" w:rsidP="00082CFD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4.2. </w:t>
            </w:r>
            <w:proofErr w:type="spellStart"/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</w:t>
            </w:r>
            <w:proofErr w:type="spellEnd"/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կայացնելու</w:t>
            </w:r>
            <w:proofErr w:type="spellEnd"/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</w:t>
            </w:r>
            <w:proofErr w:type="spellEnd"/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082CFD" w:rsidRPr="00981A65" w:rsidRDefault="00082CFD" w:rsidP="00082CFD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082CFD" w:rsidRPr="00981A65" w:rsidRDefault="0000101D" w:rsidP="00082CFD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համապատասխան մարմնի կառուցվածքային ստորաբաժանման աշխատանքների կազմակերպման և ղեկավարման </w:t>
            </w:r>
            <w:r w:rsidR="00082CFD" w:rsidRPr="00981A65">
              <w:rPr>
                <w:rFonts w:ascii="GHEA Grapalat" w:hAnsi="GHEA Grapalat"/>
                <w:sz w:val="24"/>
                <w:szCs w:val="24"/>
                <w:lang w:val="hy-AM"/>
              </w:rPr>
              <w:t>շրջանակներում</w:t>
            </w:r>
            <w:r w:rsidR="00082CFD" w:rsidRPr="00981A65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82CFD" w:rsidRPr="00981A65" w:rsidRDefault="00082CFD" w:rsidP="00082CFD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4F6F00" w:rsidRPr="00981A65" w:rsidRDefault="0043050E" w:rsidP="00082CFD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="004F6F00" w:rsidRPr="00981A6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4F6F00" w:rsidRPr="00981A6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4F6F00" w:rsidRPr="00981A6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4F6F00" w:rsidRPr="00981A6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4F6F00" w:rsidRPr="00981A6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4F6F00" w:rsidRPr="00981A6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4F6F00" w:rsidRPr="00981A65" w:rsidRDefault="0000101D" w:rsidP="00C659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</w:t>
            </w:r>
            <w:r w:rsidR="00F6352B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</w:p>
          <w:p w:rsidR="0001064C" w:rsidRPr="00981A65" w:rsidRDefault="0043050E" w:rsidP="00C659F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="007D607D"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="0001064C"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1064C"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1064C"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1064C"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1064C"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01064C" w:rsidRPr="00981A65" w:rsidRDefault="0000101D" w:rsidP="00C659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ստորաբաժանումը: </w:t>
            </w:r>
          </w:p>
          <w:p w:rsidR="0043050E" w:rsidRPr="00981A65" w:rsidRDefault="0043050E" w:rsidP="00C659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981A65" w:rsidRDefault="0000101D" w:rsidP="009B374A">
            <w:pPr>
              <w:spacing w:after="11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:rsidR="001859CD" w:rsidRPr="00981A65" w:rsidRDefault="001859CD" w:rsidP="00C659F2">
      <w:pPr>
        <w:rPr>
          <w:rFonts w:ascii="GHEA Grapalat" w:hAnsi="GHEA Grapalat"/>
          <w:lang w:val="hy-AM"/>
        </w:rPr>
      </w:pPr>
    </w:p>
    <w:sectPr w:rsidR="001859CD" w:rsidRPr="00981A65" w:rsidSect="00DA5149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3AF9"/>
    <w:multiLevelType w:val="hybridMultilevel"/>
    <w:tmpl w:val="3918A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>
    <w:nsid w:val="34E91065"/>
    <w:multiLevelType w:val="hybridMultilevel"/>
    <w:tmpl w:val="4802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424B5"/>
    <w:multiLevelType w:val="hybridMultilevel"/>
    <w:tmpl w:val="C0342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F78A2"/>
    <w:multiLevelType w:val="hybridMultilevel"/>
    <w:tmpl w:val="6F82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85190"/>
    <w:multiLevelType w:val="hybridMultilevel"/>
    <w:tmpl w:val="9074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1"/>
  </w:num>
  <w:num w:numId="5">
    <w:abstractNumId w:val="4"/>
  </w:num>
  <w:num w:numId="6">
    <w:abstractNumId w:val="8"/>
  </w:num>
  <w:num w:numId="7">
    <w:abstractNumId w:val="18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2"/>
  </w:num>
  <w:num w:numId="13">
    <w:abstractNumId w:val="15"/>
  </w:num>
  <w:num w:numId="14">
    <w:abstractNumId w:val="7"/>
  </w:num>
  <w:num w:numId="15">
    <w:abstractNumId w:val="14"/>
  </w:num>
  <w:num w:numId="16">
    <w:abstractNumId w:val="1"/>
  </w:num>
  <w:num w:numId="17">
    <w:abstractNumId w:val="6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1064C"/>
    <w:rsid w:val="00082CFD"/>
    <w:rsid w:val="000937AE"/>
    <w:rsid w:val="000A44E5"/>
    <w:rsid w:val="000E6D5F"/>
    <w:rsid w:val="0010100C"/>
    <w:rsid w:val="00107823"/>
    <w:rsid w:val="00110C8B"/>
    <w:rsid w:val="00113C7C"/>
    <w:rsid w:val="001237C6"/>
    <w:rsid w:val="00137515"/>
    <w:rsid w:val="00143524"/>
    <w:rsid w:val="00164C43"/>
    <w:rsid w:val="001859CD"/>
    <w:rsid w:val="001A34A0"/>
    <w:rsid w:val="001F5027"/>
    <w:rsid w:val="001F5D6B"/>
    <w:rsid w:val="00244414"/>
    <w:rsid w:val="00251AF0"/>
    <w:rsid w:val="002741A8"/>
    <w:rsid w:val="002C43D5"/>
    <w:rsid w:val="002E2AF9"/>
    <w:rsid w:val="002F5532"/>
    <w:rsid w:val="00304F42"/>
    <w:rsid w:val="00314347"/>
    <w:rsid w:val="00317CA3"/>
    <w:rsid w:val="00334754"/>
    <w:rsid w:val="00343519"/>
    <w:rsid w:val="00350F02"/>
    <w:rsid w:val="003C5E15"/>
    <w:rsid w:val="003D1668"/>
    <w:rsid w:val="00411E7F"/>
    <w:rsid w:val="00417FCE"/>
    <w:rsid w:val="00425257"/>
    <w:rsid w:val="0043050E"/>
    <w:rsid w:val="00430641"/>
    <w:rsid w:val="00485EEA"/>
    <w:rsid w:val="004973F5"/>
    <w:rsid w:val="0049783D"/>
    <w:rsid w:val="004A1EC6"/>
    <w:rsid w:val="004A2807"/>
    <w:rsid w:val="004D0C63"/>
    <w:rsid w:val="004E48C0"/>
    <w:rsid w:val="004F182B"/>
    <w:rsid w:val="004F6F00"/>
    <w:rsid w:val="00502116"/>
    <w:rsid w:val="00504CE0"/>
    <w:rsid w:val="00520F1A"/>
    <w:rsid w:val="00531B09"/>
    <w:rsid w:val="00544EE3"/>
    <w:rsid w:val="00554281"/>
    <w:rsid w:val="0056188F"/>
    <w:rsid w:val="0056483E"/>
    <w:rsid w:val="00565E31"/>
    <w:rsid w:val="005A576A"/>
    <w:rsid w:val="005D4E53"/>
    <w:rsid w:val="005D5E4D"/>
    <w:rsid w:val="005E02C7"/>
    <w:rsid w:val="00604B11"/>
    <w:rsid w:val="006160B7"/>
    <w:rsid w:val="00624A4D"/>
    <w:rsid w:val="0063708A"/>
    <w:rsid w:val="00697217"/>
    <w:rsid w:val="006A2F26"/>
    <w:rsid w:val="006A54A3"/>
    <w:rsid w:val="006B1D27"/>
    <w:rsid w:val="006D4790"/>
    <w:rsid w:val="00717C67"/>
    <w:rsid w:val="007309D2"/>
    <w:rsid w:val="00735C38"/>
    <w:rsid w:val="00735D06"/>
    <w:rsid w:val="00760F18"/>
    <w:rsid w:val="00775518"/>
    <w:rsid w:val="007A14F0"/>
    <w:rsid w:val="007A17C1"/>
    <w:rsid w:val="007C5CD9"/>
    <w:rsid w:val="007D226A"/>
    <w:rsid w:val="007D607D"/>
    <w:rsid w:val="00802C83"/>
    <w:rsid w:val="00805967"/>
    <w:rsid w:val="00851FCD"/>
    <w:rsid w:val="00893785"/>
    <w:rsid w:val="008A12A6"/>
    <w:rsid w:val="008C7304"/>
    <w:rsid w:val="008D0C59"/>
    <w:rsid w:val="008E696F"/>
    <w:rsid w:val="009050A2"/>
    <w:rsid w:val="00921400"/>
    <w:rsid w:val="009248A6"/>
    <w:rsid w:val="00935C4C"/>
    <w:rsid w:val="0094339A"/>
    <w:rsid w:val="00981A65"/>
    <w:rsid w:val="009B374A"/>
    <w:rsid w:val="009C0129"/>
    <w:rsid w:val="009C5FEA"/>
    <w:rsid w:val="009D0775"/>
    <w:rsid w:val="009F7F62"/>
    <w:rsid w:val="00A30269"/>
    <w:rsid w:val="00A34E80"/>
    <w:rsid w:val="00A47B7E"/>
    <w:rsid w:val="00A77EAE"/>
    <w:rsid w:val="00AA44F3"/>
    <w:rsid w:val="00AA4C3B"/>
    <w:rsid w:val="00AD6EFB"/>
    <w:rsid w:val="00AE2B84"/>
    <w:rsid w:val="00AE50FF"/>
    <w:rsid w:val="00B055F1"/>
    <w:rsid w:val="00B15D1A"/>
    <w:rsid w:val="00B80C7A"/>
    <w:rsid w:val="00BB020C"/>
    <w:rsid w:val="00BC2567"/>
    <w:rsid w:val="00BD423B"/>
    <w:rsid w:val="00BD6928"/>
    <w:rsid w:val="00C0635B"/>
    <w:rsid w:val="00C10B24"/>
    <w:rsid w:val="00C21983"/>
    <w:rsid w:val="00C26ACD"/>
    <w:rsid w:val="00C45438"/>
    <w:rsid w:val="00C61C6B"/>
    <w:rsid w:val="00C659F2"/>
    <w:rsid w:val="00C9375E"/>
    <w:rsid w:val="00CC37A1"/>
    <w:rsid w:val="00CD4B3C"/>
    <w:rsid w:val="00D17BF4"/>
    <w:rsid w:val="00D369C0"/>
    <w:rsid w:val="00D45F52"/>
    <w:rsid w:val="00D67FC5"/>
    <w:rsid w:val="00D70608"/>
    <w:rsid w:val="00D73A58"/>
    <w:rsid w:val="00D94EAE"/>
    <w:rsid w:val="00DA5149"/>
    <w:rsid w:val="00DC29D8"/>
    <w:rsid w:val="00DC5D33"/>
    <w:rsid w:val="00E041FD"/>
    <w:rsid w:val="00E23E3E"/>
    <w:rsid w:val="00E46A55"/>
    <w:rsid w:val="00E541D7"/>
    <w:rsid w:val="00E5541B"/>
    <w:rsid w:val="00E6052F"/>
    <w:rsid w:val="00E64B41"/>
    <w:rsid w:val="00E72386"/>
    <w:rsid w:val="00ED6921"/>
    <w:rsid w:val="00F06EFB"/>
    <w:rsid w:val="00F153B7"/>
    <w:rsid w:val="00F41714"/>
    <w:rsid w:val="00F467ED"/>
    <w:rsid w:val="00F52C21"/>
    <w:rsid w:val="00F55B09"/>
    <w:rsid w:val="00F6352B"/>
    <w:rsid w:val="00FA6A63"/>
    <w:rsid w:val="00FB17E6"/>
    <w:rsid w:val="00FC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5E15"/>
    <w:rPr>
      <w:i/>
      <w:iCs/>
    </w:rPr>
  </w:style>
  <w:style w:type="paragraph" w:styleId="a5">
    <w:name w:val="List Paragraph"/>
    <w:basedOn w:val="a"/>
    <w:uiPriority w:val="34"/>
    <w:qFormat/>
    <w:rsid w:val="00113C7C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C5CD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5CD9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50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6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C61C6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61C6B"/>
  </w:style>
  <w:style w:type="character" w:styleId="ad">
    <w:name w:val="annotation reference"/>
    <w:basedOn w:val="a0"/>
    <w:uiPriority w:val="99"/>
    <w:semiHidden/>
    <w:unhideWhenUsed/>
    <w:rsid w:val="00E041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041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041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41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41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D3AC-F6CF-49AE-8AED-A46A1C67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</Pages>
  <Words>2209</Words>
  <Characters>12597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188</cp:revision>
  <cp:lastPrinted>2020-03-09T10:57:00Z</cp:lastPrinted>
  <dcterms:created xsi:type="dcterms:W3CDTF">2019-10-16T12:10:00Z</dcterms:created>
  <dcterms:modified xsi:type="dcterms:W3CDTF">2020-04-19T10:39:00Z</dcterms:modified>
</cp:coreProperties>
</file>