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149" w:rsidRPr="00981A65" w:rsidRDefault="00B055F1" w:rsidP="00C659F2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r>
        <w:rPr>
          <w:rFonts w:ascii="GHEA Grapalat" w:eastAsia="Times New Roman" w:hAnsi="GHEA Grapalat" w:cs="Sylfaen"/>
          <w:sz w:val="16"/>
          <w:szCs w:val="16"/>
        </w:rPr>
        <w:t>Հավելված N 30</w:t>
      </w:r>
      <w:r w:rsidR="00DA5149" w:rsidRPr="00981A65"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81A65">
        <w:rPr>
          <w:rFonts w:ascii="GHEA Grapalat" w:eastAsia="Times New Roman" w:hAnsi="GHEA Grapalat" w:cs="Sylfaen"/>
          <w:sz w:val="16"/>
          <w:szCs w:val="16"/>
        </w:rPr>
        <w:t>Հաստատված</w:t>
      </w:r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81A65">
        <w:rPr>
          <w:rFonts w:ascii="GHEA Grapalat" w:eastAsia="Times New Roman" w:hAnsi="GHEA Grapalat" w:cs="Sylfaen"/>
          <w:sz w:val="16"/>
          <w:szCs w:val="16"/>
        </w:rPr>
        <w:t>է</w:t>
      </w:r>
    </w:p>
    <w:p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Հայաստանի </w:t>
      </w:r>
      <w:r w:rsidRPr="00981A65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r w:rsidRPr="00981A65">
        <w:rPr>
          <w:rFonts w:ascii="GHEA Grapalat" w:eastAsia="Times New Roman" w:hAnsi="GHEA Grapalat" w:cs="Times New Roman"/>
          <w:sz w:val="16"/>
          <w:szCs w:val="16"/>
        </w:rPr>
        <w:t>անրապետության սննդամթերքի</w:t>
      </w:r>
    </w:p>
    <w:p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անվտանգության տեսչական մարմնի </w:t>
      </w:r>
      <w:r w:rsidRPr="00981A65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:rsidR="007309D2" w:rsidRDefault="00B055F1" w:rsidP="007309D2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7309D2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հրամանով</w:t>
      </w:r>
    </w:p>
    <w:p w:rsidR="00D45F52" w:rsidRPr="007309D2" w:rsidRDefault="00D45F52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81A65" w:rsidRDefault="00113C7C" w:rsidP="00C659F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309D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:rsidR="00DA5149" w:rsidRPr="00981A65" w:rsidRDefault="00DA5149" w:rsidP="00C659F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113C7C" w:rsidRPr="00981A65" w:rsidRDefault="00C61C6B" w:rsidP="00CD4B3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164C43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</w:t>
      </w:r>
      <w:r w:rsidR="00DC29D8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ԿԱՆ</w:t>
      </w:r>
      <w:r w:rsidR="00164C43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ԱՋԱԿՑՈՒԹՅԱՆ ԵՎ ՓԱՍՏԱԹՂԹԱՇՐՋԱՆԱՌՈՒԹՅԱՆ</w:t>
      </w:r>
      <w:r w:rsidR="008C7304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ՎԱՐՉՈՒԹՅԱՆ ՊԵՏ</w:t>
      </w:r>
    </w:p>
    <w:p w:rsidR="00113C7C" w:rsidRPr="00981A65" w:rsidRDefault="00113C7C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13C7C" w:rsidRPr="00981A65" w:rsidRDefault="00113C7C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5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</w:tblGrid>
      <w:tr w:rsidR="00981A65" w:rsidRPr="00981A65" w:rsidTr="00ED6921">
        <w:trPr>
          <w:trHeight w:val="31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81A65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81A6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</w:p>
        </w:tc>
      </w:tr>
      <w:tr w:rsidR="00981A65" w:rsidRPr="00BD6928" w:rsidTr="00ED6921">
        <w:trPr>
          <w:trHeight w:val="530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7304" w:rsidRPr="00BD6928" w:rsidRDefault="003C5E15" w:rsidP="00CD4B3C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 Հանրապետության սննդամթերքի անվտանգության տեսչական մարմնի</w:t>
            </w:r>
            <w:r w:rsidR="00C61C6B" w:rsidRPr="00981A6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(այսուհետ՝ Տեսչական մարմին</w:t>
            </w:r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իրավ</w:t>
            </w:r>
            <w:r w:rsidR="00DC29D8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ական</w:t>
            </w:r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աջակցության և փաստաթղթաշրջանառության </w:t>
            </w:r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</w:t>
            </w:r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(այսուհետ՝ </w:t>
            </w:r>
            <w:r w:rsidR="002E2AF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Վարչություն</w:t>
            </w:r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պետ</w:t>
            </w:r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(ծածկագիրը՝</w:t>
            </w:r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81A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A5149" w:rsidRPr="00981A65">
              <w:rPr>
                <w:rFonts w:ascii="GHEA Grapalat" w:hAnsi="GHEA Grapalat"/>
                <w:sz w:val="24"/>
                <w:szCs w:val="24"/>
              </w:rPr>
              <w:t>70-</w:t>
            </w:r>
            <w:r w:rsidR="00164C43" w:rsidRPr="00981A65">
              <w:rPr>
                <w:rFonts w:ascii="GHEA Grapalat" w:hAnsi="GHEA Grapalat"/>
                <w:sz w:val="24"/>
                <w:szCs w:val="24"/>
              </w:rPr>
              <w:t>2</w:t>
            </w:r>
            <w:r w:rsidR="00DA5149" w:rsidRPr="00981A6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164C43" w:rsidRPr="00981A65">
              <w:rPr>
                <w:rFonts w:ascii="GHEA Grapalat" w:hAnsi="GHEA Grapalat"/>
                <w:sz w:val="24"/>
                <w:szCs w:val="24"/>
              </w:rPr>
              <w:t>.5</w:t>
            </w:r>
            <w:r w:rsidR="00C61C6B" w:rsidRPr="00981A65">
              <w:rPr>
                <w:rFonts w:ascii="GHEA Grapalat" w:hAnsi="GHEA Grapalat"/>
                <w:sz w:val="24"/>
                <w:szCs w:val="24"/>
              </w:rPr>
              <w:t>-Ղ3-1)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Վարչության պետն անմիջական </w:t>
            </w:r>
            <w:r w:rsidR="00334754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ենթակա  </w:t>
            </w:r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և հաշվետու է Տեսչական մարմնի ղեկավարին. 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1.3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Վարչության պետին  </w:t>
            </w:r>
            <w:r w:rsidR="00ED692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անմիջական</w:t>
            </w:r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ենթակա և հաշվետու են </w:t>
            </w:r>
            <w:r w:rsidR="008C7304" w:rsidRPr="00981A65">
              <w:rPr>
                <w:rFonts w:ascii="GHEA Grapalat" w:hAnsi="GHEA Grapalat"/>
                <w:sz w:val="24"/>
              </w:rPr>
              <w:t xml:space="preserve">Վարչության </w:t>
            </w:r>
            <w:r w:rsidR="009F7F62" w:rsidRPr="00981A65">
              <w:rPr>
                <w:rFonts w:ascii="GHEA Grapalat" w:hAnsi="GHEA Grapalat"/>
                <w:sz w:val="24"/>
              </w:rPr>
              <w:t>բաժն</w:t>
            </w:r>
            <w:r w:rsidR="008C7304" w:rsidRPr="00981A65">
              <w:rPr>
                <w:rFonts w:ascii="GHEA Grapalat" w:hAnsi="GHEA Grapalat"/>
                <w:sz w:val="24"/>
              </w:rPr>
              <w:t>ի պետերը</w:t>
            </w:r>
            <w:r w:rsidR="00AA4C3B" w:rsidRPr="00981A65">
              <w:rPr>
                <w:rFonts w:ascii="GHEA Grapalat" w:hAnsi="GHEA Grapalat"/>
                <w:sz w:val="24"/>
              </w:rPr>
              <w:t>.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1.4.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Փոխարինող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կամ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պաշտոնների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անվանումները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br/>
            </w:r>
            <w:r w:rsidR="001A04C8" w:rsidRPr="001A04C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 պետի բացակայության դեպքում նրան փոխարինում է Վարչության բաժնի պետերից մեկը, իսկ դրա անհնարինության դեպքում՝ այլ կառուցվածքային ստ</w:t>
            </w:r>
            <w:bookmarkStart w:id="0" w:name="_GoBack"/>
            <w:bookmarkEnd w:id="0"/>
            <w:r w:rsidR="001A04C8" w:rsidRPr="001A04C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որաբաժանման ղեկավարներից մեկը.</w:t>
            </w:r>
            <w:r w:rsidR="00BD6928" w:rsidRPr="00BD6928">
              <w:rPr>
                <w:rFonts w:ascii="GHEA Grapalat" w:hAnsi="GHEA Grapalat"/>
                <w:sz w:val="24"/>
              </w:rPr>
              <w:t xml:space="preserve"> </w:t>
            </w:r>
          </w:p>
          <w:p w:rsidR="003C5E15" w:rsidRPr="00981A65" w:rsidRDefault="003C5E15" w:rsidP="00C659F2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7060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1.5.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Աշխատավայրը</w:t>
            </w:r>
            <w:r w:rsidRPr="00D7060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Հայաստան</w:t>
            </w:r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ք</w:t>
            </w:r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. </w:t>
            </w:r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Երևան</w:t>
            </w:r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r w:rsidR="00082CFD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Արաբկ</w:t>
            </w:r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իր</w:t>
            </w:r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վարչական</w:t>
            </w:r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շրջան</w:t>
            </w:r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r w:rsidR="00DA514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Կոմիտաս</w:t>
            </w:r>
            <w:r w:rsidR="00DA514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49/</w:t>
            </w:r>
            <w:r w:rsidR="00DA514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2</w:t>
            </w:r>
          </w:p>
        </w:tc>
      </w:tr>
      <w:tr w:rsidR="00981A65" w:rsidRPr="001A04C8" w:rsidTr="001237C6">
        <w:trPr>
          <w:trHeight w:val="55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81A65" w:rsidRDefault="003C5E15" w:rsidP="00C659F2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</w:rPr>
              <w:t>2. Պաշտոնի բնութագիրը</w:t>
            </w:r>
          </w:p>
          <w:p w:rsidR="007C5CD9" w:rsidRPr="00981A65" w:rsidRDefault="007C5CD9" w:rsidP="00C659F2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7C5CD9" w:rsidRPr="00981A65" w:rsidRDefault="007C5CD9" w:rsidP="00C659F2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2.1. </w:t>
            </w:r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Աշխատանքի բնույթը, իրավունքները, պարտականությունները</w:t>
            </w:r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:rsidR="0000101D" w:rsidRPr="00981A65" w:rsidRDefault="0000101D" w:rsidP="00C659F2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Տեսչական մարմնի ստորաբաժանումների կողմից մշակված իրավական ակտերի նախագծերի իրավական փորձաքննության 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lastRenderedPageBreak/>
              <w:t>իրականաց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Հայաստանի Հանրապետության կառավարությունից, նախարարություններից և այլ մարմիններից ստացված օրենքների և իրավական այլ ակտերի նախագծերի վերաբերյալ կարծիքների տրամադր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իրավական ակտերի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պաշտոնական պարզաբանումների նախագծերի վերաբերյալ եզրակացությունների տրամադր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ստուգման ակտերի նախագծերի վերաբերյալ առաջարկություների ներկայաց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 և ֆիզիկական անձանց կողմից ներկայացված դիմումներում բարձրացված հարցերի ուսումնասիրությ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 և դրա հիման վրա համապատասխան պատասխանատու ստորաբաժանումներին առաջարկությունների ներկայաց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ինչպես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նաև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դրանց վերաբերյալ պատասխանների նախագծերի կազմ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ստորաբաժանումներին իրավական աջակցության և խորհրդատվության տրամադր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Տեսչական մարմնին վերապահված իրավասությունների շրջանակներում Հայաստանի Հանրապետության դատական և այլ պետական մարմիններում Տեսչական մարմնի շահերի պաշտպանության իրականացման, անհրաժեշտ փաստաթղթերի կազմման աշխատանքները.</w:t>
            </w:r>
          </w:p>
          <w:p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իրավախախտումների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քննությանը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Վարչության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մասնակցությունը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ինչպես նաև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իրավախախտումների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գործերով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պատրաստման աշխատանքները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 անունից կնքվող պայմանագրերի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կազմման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Տեսչական մարմնի այլ ստորաբաժանումների կողմից ներկայացված պայմանագրերի վերաբերյալ իրավական եզրակացության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Տեսչական մարմնի ենթակայությանը հանձնված պետական ոչ առևտրային կազմակերպության նկատմամբ</w:t>
            </w:r>
            <w:r w:rsidR="00D369C0" w:rsidRPr="00981A65">
              <w:rPr>
                <w:sz w:val="24"/>
                <w:szCs w:val="24"/>
                <w:lang w:val="hy-AM"/>
              </w:rPr>
              <w:t xml:space="preserve">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մարմնի՝ որպես լիազորված պետական մարմնի կողմից կազմակերպության կառավարման իրականացման, լիազորությունների իրականացման կապված կազմակերպության գործունեության վերահսկողության իրականացման, կազմակերպության գործադիր մարմնի` Հայաստանի Հանրապետության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lastRenderedPageBreak/>
              <w:t>օրենսդրության պահանջներին հակասող հրամանները, հրահանգները, կարգադրություններն ու ցուցումները կասեցնելու կամ ուժը կոցրած ճանաչելու և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այլն իրավական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ապահովման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0A44E5" w:rsidRPr="00981A65" w:rsidRDefault="00AA44F3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իրականացնում է մեթոդական ղեկավարում 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Տեսչական մարմնի ենթակայությանը հանձնված պետական ոչ առևտրային կազմակերպության իրավական գոր</w:t>
            </w:r>
            <w:r w:rsidR="00BD423B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ծ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ընթացների պատշաճ իրականացման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նկատմամբ.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հանձնաժովորի կողմից կազմակերպվող ոլորտային քննարկումներին, ինչպես նաև Եվրասիական տնտեսական հանձնաժողովի ոլորտային աշխատանքային խմբերին </w:t>
            </w:r>
            <w:r w:rsidR="00FB17E6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Վար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և դիրքորոշման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միության անդամակցությունից բխող իրավական ակտերի մշակմանը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հանձնաժողովի, ինչպես նաև Եվրասիական տնտեսական միության անդամ երկրների կողմից ներկայացված օրենսդրական նախաձեռնությունների վերաբերյալ դիրքորոշման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միության տարածքում ապրանքաշրջանառության ընթացքում պետական վերահսկողության շրջանակում ծագած խնդիրների վերաբերյալ իրավական պարզաբանումների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 կողմից իրականացվող պետական վերահսկողության ընթացքում ծագած իրավական հարցերի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պարզաբանումների 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իրավասության սահմաններում Տեսչական մարմնի կողմից իրականացվող պետական  վերահսկողությանը և վարչական վարույթներին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,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ինչպես նաև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դրանց առնչվող փաստաթղթերի նախագծերի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նախապատրաստման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սննդամթերքի և կերի անվտանգության, անասնաբուժության, բուսասանիտարիայի բնագավառների վերաբերյալ իրավական ակտերի նախագծերի կազմմանը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աջակցության ցուցաբերման և դրանց վերաբերյալ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առաջարկությունների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:rsidR="002741A8" w:rsidRPr="00981A65" w:rsidRDefault="00FB17E6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սննդամթերքի և կերի անվտանգության, անասնաբուժության և բուսասանիտարիայի ոլորտներում կնքվող միջազգային պայմանագրերի նախագծերի իրավական վավերության և ձևակերպումների ճշտության ստուգման աշխատանքները. </w:t>
            </w:r>
          </w:p>
          <w:p w:rsidR="002741A8" w:rsidRPr="00981A65" w:rsidRDefault="002741A8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ապահովում է գնումների կազմակերպման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:rsidR="002741A8" w:rsidRPr="00981A65" w:rsidRDefault="002741A8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կազմակերպատնտեսական, ինչպես նաև Տեսչական մարմնի կողմից ստուգումների տարեկան ծրագրով չնախատեսված ստուգումների անցկացման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:rsidR="00FB17E6" w:rsidRPr="00981A65" w:rsidRDefault="00FB17E6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Տեսչական մարմնի ղեկավարի, նրա տեղակալների ստորագրությամբ ելից փաստաթղթերի վերաբերյալ առաջարկությունների ներկայացման և համաձայնեցման աշխատանքները. </w:t>
            </w:r>
          </w:p>
          <w:p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մտից փաստաթղթերի գրանցման, համարակալման և թղթային, փոստային առաքման աշխատանքների իրականացում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ելից փաստաթղթերի համարակալման և թղթային, փոստային առաքման աշախատանքների իրականացում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ղեկավարի կողմից ստորագրված հրամանների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935C4C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արխիվ հանձնվող փաստաթղթերի հաշվառման և պահպանման </w:t>
            </w:r>
            <w:r w:rsidR="0031434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935C4C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31434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քաղաքացիների կողմից ստացված դիմումների, առաջարկությունների և բողոքների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ծանուցման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առաքման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AA44F3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Նախագահի, Ազգային ժողովի, վարչապետի աշխատակազմերից ստացված հանձնարարականների, նախարարություններից և այլ պետական մարմիններից, կազմակերպություններից ստացված փաստաթղթերի փաստաթղթաշրջանառության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կազմակերպման աշխատանքները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</w:p>
          <w:p w:rsidR="00735C38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Խորհրդի նիստի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նյութերի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արձանագրությունների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կազմման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Վարչությունում հաշվառված հանձնարարականների կատարման ընթացքի մասին Տեսչական մարմնի ղեկավարին ժամկետանց և կատարվելիք ամփոփաթերթերի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D369C0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մեկ ամսվա կտրվածքով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արչությունում հաշվառված հանձնարականների կատարման ընթացքի մասին վերլուծական տեղեկանքի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տրամադրումը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ղեկավարին.</w:t>
            </w:r>
          </w:p>
          <w:p w:rsidR="00D50D0B" w:rsidRPr="00D50D0B" w:rsidRDefault="00D50D0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 իրավասության շրջանակներում ապահովում է հակակոռուպցիոն միջոցառումների և հակակոռուպցիոն ոլորտի միջազգային պարտավորությունների կատարմանն ուղղված աշխատանքների համակարգումը.</w:t>
            </w:r>
          </w:p>
          <w:p w:rsidR="007C5CD9" w:rsidRPr="00981A65" w:rsidRDefault="007C5CD9" w:rsidP="00164C43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C5E15" w:rsidRPr="00981A65" w:rsidRDefault="007C5CD9" w:rsidP="00C659F2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Իրավունքները՝</w:t>
            </w:r>
          </w:p>
          <w:p w:rsidR="00DC5D33" w:rsidRPr="00981A65" w:rsidRDefault="00DC5D33" w:rsidP="00C659F2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4A1EC6" w:rsidRPr="00981A65" w:rsidRDefault="004A1EC6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Վարչության իրավասությանը վերապահված ոլորտին առնչվող ծրագրերի, նախագծերի մշակման </w:t>
            </w:r>
            <w:r w:rsidR="00735D06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աշխատանքների ընթացքում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քննարկվող հարցերի </w:t>
            </w:r>
            <w:r w:rsidR="00735D06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վերաբերյալ 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ներկայացնել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մասնագիտական 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դիրքորոշում, կարծիքներ, առաջարկություններ, առարկություններ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110C8B" w:rsidRPr="00981A65" w:rsidRDefault="00110C8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Տեսչական մարմնի իրավասությանը վերապահված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ոլորտների առանձին իրավակարգավորումների վերաբերյալ միջազգային փորձի ուսումնասիրության և դրա հիմա վրա օրենսդրությունում առկա բացերի, թերությունների վերացման և օրենսդրության կատարելագործման վերաբերյալ </w:t>
            </w:r>
            <w:r w:rsidR="004D0C63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ներկայացնել առաջարկություններ.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4A1EC6" w:rsidRPr="00981A65" w:rsidRDefault="004A1EC6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Վարչության բաժինների պետերից իրանց իրավասությանը վերապահված ոլորտում իրականացվող աշխատանքների վերաբերյալ </w:t>
            </w:r>
            <w:r w:rsidR="00B80C7A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պահանջել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հաշվետվություններ, զեկուցագրեր, անհրաժեշտ փաստաթղթեր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75518" w:rsidRPr="00981A65" w:rsidRDefault="00A30269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գործունեությանն առնչվող պայմանագրերի, համաձայնագրերի, լիազորագրերի, հանձնարարականների և այլ փ</w:t>
            </w:r>
            <w:r w:rsidR="00D70608">
              <w:rPr>
                <w:rFonts w:ascii="GHEA Grapalat" w:hAnsi="GHEA Grapalat" w:cs="Sylfaen"/>
                <w:sz w:val="24"/>
                <w:szCs w:val="24"/>
                <w:lang w:val="hy-AM"/>
              </w:rPr>
              <w:t>աստաթղթ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երի նախագծերի մշակման աշխատանքների իրականացման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նպատակով </w:t>
            </w:r>
            <w:r w:rsidR="009B374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անցկացնել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աշխատանքային և մասնագիտական </w:t>
            </w:r>
            <w:r w:rsidR="00F55B0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քննարկումներ</w:t>
            </w:r>
            <w:r w:rsidR="00DA5149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75518" w:rsidRPr="00981A65" w:rsidRDefault="00A30269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կառուցվածքային ստորաբաժանումներից, այլ մարմիններից, պաշտոնատար անձանցից </w:t>
            </w:r>
            <w:r w:rsidR="00244414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առջև դրված գործառույթների և խնդիրների իրականացման հետ կապված անհրաժեշտ </w:t>
            </w:r>
            <w:r w:rsidR="004A1EC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տեղեկատվությու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 և նյութեր</w:t>
            </w:r>
            <w:r w:rsidR="00DA5149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775518" w:rsidRDefault="00775518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առջև դրված խնդիրների և գործառույթների իրականացման հետ կապված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հրավիրել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խորհրդակցություններ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ինչպես նաև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իրավասությանը վերապահված խնդիրների, գործառույթների հետ կապված խորհրդակցություններին և քննարկումներին</w:t>
            </w:r>
            <w:r w:rsidR="00DC5D3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քննարկվող հարցերի շուրջ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առաջարկություններ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DC5D3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GHEA Grapalat" w:eastAsia="Batang" w:hAnsi="GHEA Grapalat" w:cs="Sylfaen"/>
                <w:sz w:val="24"/>
                <w:szCs w:val="24"/>
                <w:lang w:val="af-ZA"/>
              </w:rPr>
            </w:pPr>
            <w:r w:rsidRPr="00D50D0B">
              <w:rPr>
                <w:rFonts w:ascii="GHEA Grapalat" w:eastAsia="Batang" w:hAnsi="GHEA Grapalat" w:cs="Sylfaen"/>
                <w:sz w:val="24"/>
                <w:szCs w:val="24"/>
                <w:lang w:val="af-ZA"/>
              </w:rPr>
              <w:t>իրականացվող հակակոռուպցիոն ծրագրերի շրջանակներում Տեսչական մարմնի ստորաբաժանումներից պահանջել և ստանալ տեղեկատվություն.</w:t>
            </w:r>
          </w:p>
          <w:p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քաղաքականության և մոնիտորինգի համար պատասխանատու մարմնից պահանջել և ստանալ մեթոդական աջակցություն, խորհրդատվություն ռազմավարական փաստաթղթերով նախատեսված հակակոռուպցիոն ոլորտի միջոցառումների և ոլորտային միջազգային պարտավորությունների վերաբերյալ.</w:t>
            </w:r>
          </w:p>
          <w:p w:rsidR="00775518" w:rsidRPr="00981A65" w:rsidRDefault="00775518" w:rsidP="00C659F2">
            <w:pPr>
              <w:spacing w:after="0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7C5CD9" w:rsidRPr="00981A65" w:rsidRDefault="007C5CD9" w:rsidP="00C659F2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Պարտականությունները՝</w:t>
            </w:r>
          </w:p>
          <w:p w:rsidR="007C5CD9" w:rsidRPr="00981A65" w:rsidRDefault="007C5CD9" w:rsidP="00C659F2">
            <w:pPr>
              <w:pStyle w:val="ListParagrap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:rsidR="00D73A58" w:rsidRPr="00981A65" w:rsidRDefault="007D22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ուսումնասիրել  Տեսչական մարմնի ենթակայությամբ գործող պետական ոչ առևտրային կազմակերպության (ՀԱԲԼԾԿ ՊՈԱԿ) գործադիր մարմնի կողմից ընդունված հրամանները, հրահանգները, կարգադրությունները, ցուցումները և այլ իրավական ակտերը, օրենսդրության խախտումներ, օրենսդրության պահանջներին հակասող իրավական ակտեր, դրույթներ հայտնաբերելու դեպքում մշակել օրենսդրության պահանջներին  հակասող գործող իրավական ակտերի կամ դրանցում առկա դրույթների </w:t>
            </w:r>
            <w:r w:rsidR="00520F1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դադարեցման կամ ուժը կորցրած ճանաչելուն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 նախագիծ և ներկայացնել Տեսչական մարմնի ղեկավարին.</w:t>
            </w:r>
          </w:p>
          <w:p w:rsidR="00805967" w:rsidRPr="00981A65" w:rsidRDefault="005A57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ուսումնասիրել </w:t>
            </w:r>
            <w:r w:rsidR="007D22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ՀԱԲԼԾԿ ՊՈԱԿ-ի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գործադիր մարմնի կողմից մշակված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հրամանների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հրահանգների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կարգադրությունների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ցուցումների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այլ իրավական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ակտերի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նախագծերը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օրենսդրության պահանջներին հակասող դրույթներ հայտնաբերելու դեպքում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նախաձեռնել դրանց </w:t>
            </w:r>
            <w:r w:rsidR="00520F1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դադարեցման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 ուժը կորցրած ճանաչել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ու գործընթացը՝ մշակելով դրա վերաբերյալ համապատասխան առաջարկություններով և հիմնավորումներով իրավական ակտի նախագիծ և ներկայացնելով Տեսչական մարմնի ղեկավարին</w:t>
            </w:r>
            <w:r w:rsidR="000A44E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7D226A" w:rsidRPr="00981A65" w:rsidRDefault="00604B11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ենթակայությամբ գործող պետական ոչ առևտրային կազմակերպության </w:t>
            </w:r>
            <w:r w:rsidR="000937AE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շահերի ապահովման նպատակով, վերջինիս տրված գործառույթներին առնչվող գործերով լիազորագրի հիման վրա Հայաստանի Հանրապետության դատարաններում հանդես գալ որպես հայցվոր և պատասխանող՝ ապահովելով վերջինիս դատական ներկայացուցչությունը և իրականացնելով դատավարական անհրաժեշտ գործողություններ.</w:t>
            </w:r>
          </w:p>
          <w:p w:rsidR="000937AE" w:rsidRPr="00981A65" w:rsidRDefault="001F5D6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մշակել Տեսչական մարմնի ենթակայությամբ գործող պետական ոչ առևտրային կազմակերպության գործառույթների, վերջինիս վերապահված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լիազորությունների կատարումն ապահովող իրավական ակտերի նախագծեր.</w:t>
            </w:r>
          </w:p>
          <w:p w:rsidR="00805967" w:rsidRPr="00981A65" w:rsidRDefault="0080596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ենթակայությամբ գործող պետական ոչ առևտրային կազմակերպության գործադիր մարմնի կողմից կնքված պայմանագրերի առնչությամբ </w:t>
            </w:r>
            <w:r w:rsidR="005A57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A57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իրավական-փորձագիտական եզրակացություն և  ստուգել դրանց իրավական վավերությունը և ճշգրտությունը,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 պահանջներին հակասող դրույթներ հայտնաբերելու դեպքում տալ դրանց վերացմանն ուղղված համապատասխան ցուցումներ.</w:t>
            </w:r>
          </w:p>
          <w:p w:rsidR="005A576A" w:rsidRPr="00981A65" w:rsidRDefault="005A57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ամփոփել ՊՈԱԿ-ի գործունեության իրավական պրակտիկան, ներկայացնել համապատասխան հանձնարարականներ օրենսդրության բացերի վերացման</w:t>
            </w:r>
            <w:r w:rsidR="001A34A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 հակասությունների կարգավորման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իրավակիրառ պրակտիկայի կատարելագործման առնչությամբ. </w:t>
            </w:r>
          </w:p>
          <w:p w:rsidR="00805967" w:rsidRPr="00981A65" w:rsidRDefault="0080596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ենթակայությանը հանձնված պետական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իրականացման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հիմնադրի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որոշմամբ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կանոնադրությամբ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օտարման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վարձակալության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 Տեսչական մարմնի կողմից տրամադրվող համաձայնությունների վերաբերյալ տալ իրավական-փորձագիտական եզրակացություն.</w:t>
            </w:r>
          </w:p>
          <w:p w:rsidR="00A30269" w:rsidRPr="00981A65" w:rsidRDefault="004D0C6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հետևել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լիազորությունների շրջանակներում առաջարկությունների, հաշվետվությունների, տեղեկանքների, միջնորդագրերի, զեկուցագրերի և այլ գրությունների նախապատրաստման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աշխատանքներին, անհրաժեշտության դեպքում, ցուցաբերել </w:t>
            </w:r>
            <w:r w:rsidR="005E02C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իրավական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աջակցություն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E041F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63708A" w:rsidRPr="00981A65" w:rsidRDefault="0063708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Տեսչական մարմնի կողմից մշակված իրավական ակտերի նախագծերի վերաբերյալ տրամադրել մասնագիտական  եզրակացություններ. </w:t>
            </w:r>
          </w:p>
          <w:p w:rsidR="00314347" w:rsidRPr="00981A65" w:rsidRDefault="0031434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իրեն տրված լիազորությունների հիման վրա և Տեսչական մարմնին վերապահված իրավասությունների շրջանակներում այլ մարմիններում պաշտպանել  </w:t>
            </w:r>
            <w:r w:rsidR="00735D0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շահերը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544EE3" w:rsidRPr="00981A65" w:rsidRDefault="0063708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ամփոփել </w:t>
            </w:r>
            <w:r w:rsidR="00544EE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մասնակցությամբ դատական պրակտիկայի աշխատանքներ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 Տեսչական մարմնի ղեկավարին ներկայացնել մասնագիտական առաջարկություններ, եզրակացություններ այդ աշխատանքների կատարելագործման, առավել բարձր արդյունքների գրանցման վերաբերյալ</w:t>
            </w:r>
            <w:r w:rsidR="00544EE3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</w:p>
          <w:p w:rsidR="00544EE3" w:rsidRPr="00981A65" w:rsidRDefault="00544EE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Վարչություն հասցեագրված դիմում-բողոքների կապակցությամբ Հայաստանի Հանրապետության օրենսդրությամբ սահմանված կարգով և դեպքերում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մասնակցել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վարչական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վարույթներ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կազմակերպված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վարչական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լսումներ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Տեսչական մարմին դիմած քաղաքացիներին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տրամադրել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իրավաբանական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խորհրդատվություն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107823" w:rsidRPr="00981A65" w:rsidRDefault="0010782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և կերի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կարգավորող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Հայա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տանի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o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րեն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դրության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հակա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ող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իրականացնել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համապատասխան ուսումնասիրություններ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:rsidR="007A14F0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Sylfaen" w:hAnsi="GHEA Grapalat" w:cs="Sylfaen"/>
                <w:sz w:val="24"/>
                <w:lang w:val="hy-AM"/>
              </w:rPr>
              <w:t xml:space="preserve">ուսումնասիրել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Վարչության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գործառույթները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81A65">
              <w:rPr>
                <w:rFonts w:ascii="GHEA Grapalat" w:eastAsia="Sylfaen" w:hAnsi="GHEA Grapalat" w:cs="Sylfaen"/>
                <w:sz w:val="24"/>
                <w:lang w:val="hy-AM"/>
              </w:rPr>
              <w:t>ակտեր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:rsidR="000E6D5F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ստուգել </w:t>
            </w:r>
            <w:r w:rsidR="00565E31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 և կերի</w:t>
            </w:r>
            <w:r w:rsidR="00565E31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565E31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անվտանգության, անասնաբուժության և բուսասանիտարիայի</w:t>
            </w:r>
            <w:r w:rsidR="00565E31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ոլորտներում </w:t>
            </w:r>
            <w:r w:rsidR="0094339A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կնքվող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պայմանագրերի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F41714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ական</w:t>
            </w:r>
            <w:r w:rsidR="006D479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վավերությունը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. </w:t>
            </w:r>
          </w:p>
          <w:p w:rsidR="00251AF0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հետևել </w:t>
            </w:r>
            <w:r w:rsidR="00624A4D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գործունեությանն առնչվող պայմանագրերի, համաձայնագրերի, լիազորագրերի, հանձնարարականների և այլ փաստաթղթղերի նախագծերի </w:t>
            </w:r>
            <w:r w:rsidR="005D4E53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մշակման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աշխատանքներին, օրենսդրության պահանջների խախտումներ հայտնաբերելու դեպքում պահանջել անհապաղ վերացնել դրանք</w:t>
            </w:r>
            <w:r w:rsidR="00624A4D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</w:p>
          <w:p w:rsidR="000E6D5F" w:rsidRPr="00981A65" w:rsidRDefault="000E6D5F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իրավասության վերապահված ոլորտները կարգավորող իրավական ակտերի դրույթների կիրառման վերաբերյալ տալ պարզաբանումներ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3C5E15" w:rsidRPr="008C0ECB" w:rsidRDefault="00AE50FF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մասնակցել դրանց ընթացք տալու աշխատանքներին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:rsidR="008C0ECB" w:rsidRPr="00D50D0B" w:rsidRDefault="008C0EC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հետևել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զորահավաքային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նախապատրաստության և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D0B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 վերաբերյալ առաջարկությունների և փաստաթղթերի ներկայացմանը  Տեսչական մարմնի ղեկավարին.</w:t>
            </w:r>
          </w:p>
          <w:p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իրավասության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շրջանակներում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համագործակցել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իրավասու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մարմինների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հետևել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ռազմավարական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փաստաթղթերով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հակակոռուպցիոն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ոլորտի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միջոցառումների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հաշվետվությունների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ինքնագնահատման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զեկույցների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կազմման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հարցաշարերի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լրացման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մասնակցել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հակակոռուպցիոն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ոլորտին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առնչվող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քննարկումներին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:rsidR="00D50D0B" w:rsidRPr="008C0ECB" w:rsidRDefault="00D50D0B" w:rsidP="00D50D0B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տրամադրել </w:t>
            </w: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</w:t>
            </w: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գործառույթներին առնչվող ռազմավարական փաստաթղթերով նախատեսված՝ հակակոռուպցիոն ոլորտի միջոցառումների և ոլորտային միջազգային պարտավորությունների կատարման վերաբերյալ տեղեկատվություն, պարզաբանումներ, միջոցներ ձեռնարկել </w:t>
            </w: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</w:t>
            </w: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կողմից ոլորտային միջազգային պարտավորությունների կատարումն ապահովելու ուղղությամբ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981A65" w:rsidRPr="00981A65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417FCE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  <w:r w:rsidR="00417FCE" w:rsidRPr="00417FC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:rsidR="0000101D" w:rsidRPr="00D50D0B" w:rsidRDefault="003C5E15" w:rsidP="00C659F2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981A65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417FCE" w:rsidRPr="00417FC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417FCE" w:rsidRPr="00D50D0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tbl>
            <w:tblPr>
              <w:tblStyle w:val="TableGrid"/>
              <w:tblW w:w="9270" w:type="dxa"/>
              <w:tblLook w:val="04A0" w:firstRow="1" w:lastRow="0" w:firstColumn="1" w:lastColumn="0" w:noHBand="0" w:noVBand="1"/>
            </w:tblPr>
            <w:tblGrid>
              <w:gridCol w:w="811"/>
              <w:gridCol w:w="2770"/>
              <w:gridCol w:w="5689"/>
            </w:tblGrid>
            <w:tr w:rsidR="009050A2" w:rsidRPr="001A04C8" w:rsidTr="00A24809">
              <w:trPr>
                <w:trHeight w:val="94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9050A2" w:rsidRPr="001A04C8" w:rsidTr="00A24809">
              <w:trPr>
                <w:trHeight w:val="364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2.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 xml:space="preserve">Իրավունք </w:t>
                  </w:r>
                </w:p>
              </w:tc>
            </w:tr>
            <w:tr w:rsidR="009050A2" w:rsidRPr="001A04C8" w:rsidTr="00A24809">
              <w:trPr>
                <w:trHeight w:val="385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>Իրավունք</w:t>
                  </w:r>
                </w:p>
              </w:tc>
            </w:tr>
            <w:tr w:rsidR="009050A2" w:rsidRPr="001A04C8" w:rsidTr="00A24809">
              <w:trPr>
                <w:trHeight w:val="128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4.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 w:cs="GHEA Grapalat"/>
                      <w:lang w:val="hy-AM"/>
                    </w:rPr>
                    <w:t xml:space="preserve">042101.00.6 </w:t>
                  </w: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>Իրավագիտություն</w:t>
                  </w:r>
                </w:p>
              </w:tc>
            </w:tr>
          </w:tbl>
          <w:p w:rsidR="00082CFD" w:rsidRPr="00D50D0B" w:rsidRDefault="00082CFD" w:rsidP="00082CF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b/>
                <w:lang w:val="hy-AM"/>
              </w:rPr>
            </w:pPr>
          </w:p>
          <w:p w:rsidR="008E696F" w:rsidRPr="00981A65" w:rsidRDefault="003C5E15" w:rsidP="00082CF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81A65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Pr="00981A65">
              <w:rPr>
                <w:rFonts w:ascii="GHEA Grapalat" w:hAnsi="GHEA Grapalat" w:cs="Sylfaen"/>
                <w:lang w:val="hy-AM"/>
              </w:rPr>
              <w:t>Ունի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իրականացման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համար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անհրաժեշտ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գիտելիքներ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Pr="00981A65">
              <w:rPr>
                <w:rFonts w:ascii="GHEA Grapalat" w:hAnsi="GHEA Grapalat"/>
                <w:b/>
                <w:lang w:val="hy-AM"/>
              </w:rPr>
              <w:t>3.3.</w:t>
            </w:r>
            <w:r w:rsidRPr="00981A65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="00775518" w:rsidRPr="00981A65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E6052F" w:rsidRPr="00981A65">
              <w:rPr>
                <w:rFonts w:ascii="GHEA Grapalat" w:hAnsi="GHEA Grapalat" w:cs="Sylfaen"/>
                <w:lang w:val="hy-AM"/>
              </w:rPr>
              <w:t xml:space="preserve">ռնվազն երեք տարվա ստաժ կամ 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981A65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0E6D5F" w:rsidRPr="00981A65">
              <w:rPr>
                <w:rFonts w:ascii="GHEA Grapalat" w:hAnsi="GHEA Grapalat" w:cs="Sylfaen"/>
                <w:lang w:val="hy-AM"/>
              </w:rPr>
              <w:t xml:space="preserve">իրավունքի </w:t>
            </w:r>
            <w:r w:rsidR="00775518" w:rsidRPr="00981A65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981A65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 </w:t>
            </w:r>
            <w:r w:rsidRPr="00981A65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:rsidR="00531B09" w:rsidRPr="00981A65" w:rsidRDefault="008E696F" w:rsidP="00C659F2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r w:rsidRPr="00981A65">
              <w:rPr>
                <w:rFonts w:ascii="GHEA Grapalat" w:hAnsi="GHEA Grapalat" w:cs="Sylfaen"/>
                <w:b/>
              </w:rPr>
              <w:t>Ընդհանրական կոմպետենցիաներ՝</w:t>
            </w:r>
          </w:p>
          <w:p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Աշխատակազմի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</w:p>
          <w:p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Քաղաքականության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մոնիթորինգ</w:t>
            </w:r>
          </w:p>
          <w:p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Որոշումների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կայացում</w:t>
            </w:r>
          </w:p>
          <w:p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</w:p>
          <w:p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</w:p>
          <w:p w:rsidR="008E696F" w:rsidRPr="00981A65" w:rsidRDefault="0000101D" w:rsidP="00082CF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r w:rsidRPr="00981A65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:rsidR="008E696F" w:rsidRPr="00981A65" w:rsidRDefault="008E696F" w:rsidP="00C659F2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Ընտրանքային կոմպետենցիաներ՝</w:t>
            </w:r>
          </w:p>
          <w:p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81A65">
              <w:rPr>
                <w:rFonts w:ascii="GHEA Grapalat" w:hAnsi="GHEA Grapalat"/>
                <w:sz w:val="24"/>
              </w:rPr>
              <w:t>Բանակցությունների վարում</w:t>
            </w:r>
          </w:p>
          <w:p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81A65">
              <w:rPr>
                <w:rFonts w:ascii="GHEA Grapalat" w:hAnsi="GHEA Grapalat"/>
                <w:sz w:val="24"/>
              </w:rPr>
              <w:t>Փոփոխությունների կառավարում</w:t>
            </w:r>
          </w:p>
          <w:p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81A65">
              <w:rPr>
                <w:rFonts w:ascii="GHEA Grapalat" w:hAnsi="GHEA Grapalat"/>
                <w:sz w:val="24"/>
              </w:rPr>
              <w:t>Կոնֆլիկտների կառավարում</w:t>
            </w:r>
          </w:p>
          <w:p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81A65">
              <w:rPr>
                <w:rFonts w:ascii="GHEA Grapalat" w:hAnsi="GHEA Grapalat"/>
                <w:sz w:val="24"/>
              </w:rPr>
              <w:lastRenderedPageBreak/>
              <w:t>Բողոքների բավարարում</w:t>
            </w:r>
          </w:p>
          <w:p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81A65">
              <w:rPr>
                <w:rFonts w:ascii="GHEA Grapalat" w:hAnsi="GHEA Grapalat"/>
                <w:sz w:val="24"/>
              </w:rPr>
              <w:t>Ժամանակի կառավարում</w:t>
            </w:r>
          </w:p>
          <w:p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81A65">
              <w:rPr>
                <w:rFonts w:ascii="GHEA Grapalat" w:hAnsi="GHEA Grapalat"/>
                <w:sz w:val="24"/>
              </w:rPr>
              <w:t>Ելույթների նախապատրաստում և կազմակերպում</w:t>
            </w:r>
          </w:p>
          <w:p w:rsidR="003C5E15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r w:rsidRPr="00981A65">
              <w:rPr>
                <w:rFonts w:ascii="GHEA Grapalat" w:hAnsi="GHEA Grapalat"/>
                <w:sz w:val="24"/>
              </w:rPr>
              <w:t>Ժողովների և խորհրդակցությունների կազմակերպում և վարում</w:t>
            </w:r>
          </w:p>
        </w:tc>
      </w:tr>
      <w:tr w:rsidR="00981A65" w:rsidRPr="001A04C8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5E15" w:rsidRPr="00981A65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</w:p>
          <w:p w:rsidR="0043050E" w:rsidRPr="00981A65" w:rsidRDefault="0043050E" w:rsidP="00C659F2">
            <w:pPr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4.1. Աշխատանքի կազմակերպման և ղեկավարման պատասխանատվությունը</w:t>
            </w:r>
          </w:p>
          <w:p w:rsidR="00082CFD" w:rsidRPr="00D70608" w:rsidRDefault="0000101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:rsidR="0043050E" w:rsidRPr="00981A65" w:rsidRDefault="0043050E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4.2. Որոշումներ կայացնելու լիազորություններ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</w:p>
          <w:p w:rsidR="00082CFD" w:rsidRPr="00981A65" w:rsidRDefault="00082CF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082CFD" w:rsidRPr="00981A65" w:rsidRDefault="0000101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Կայացնում է որոշումներ համապատասխան մարմնի կառուցվածքային ստորաբաժանման աշխատանքների կազմակերպման և ղեկավարման </w:t>
            </w:r>
            <w:r w:rsidR="00082CFD" w:rsidRPr="00981A65">
              <w:rPr>
                <w:rFonts w:ascii="GHEA Grapalat" w:hAnsi="GHEA Grapalat"/>
                <w:sz w:val="24"/>
                <w:szCs w:val="24"/>
                <w:lang w:val="hy-AM"/>
              </w:rPr>
              <w:t>շրջանակներում</w:t>
            </w:r>
            <w:r w:rsidR="00082CFD" w:rsidRPr="00981A65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82CFD" w:rsidRPr="00981A65" w:rsidRDefault="00082CF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F6F00" w:rsidRPr="00981A65" w:rsidRDefault="0043050E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4.3. Գործունեության ազդեցություն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981A65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:rsidR="004F6F00" w:rsidRPr="00981A65" w:rsidRDefault="0000101D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</w:t>
            </w:r>
            <w:r w:rsidR="00F6352B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  <w:p w:rsidR="0001064C" w:rsidRPr="00981A65" w:rsidRDefault="0043050E" w:rsidP="00C659F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4.4.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Շփումներ և ներկայացուցչություն</w:t>
            </w:r>
            <w:r w:rsidR="007D607D"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01064C" w:rsidRPr="00981A65" w:rsidRDefault="0000101D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ստորաբաժանումը: </w:t>
            </w:r>
          </w:p>
          <w:p w:rsidR="0043050E" w:rsidRPr="00981A65" w:rsidRDefault="0043050E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4.5. Խնդիրների բարդությունը և դրանց լուծումը</w:t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:rsidR="003C5E15" w:rsidRPr="00981A65" w:rsidRDefault="0000101D" w:rsidP="009B374A">
            <w:pPr>
              <w:spacing w:after="11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</w:t>
            </w:r>
          </w:p>
        </w:tc>
      </w:tr>
    </w:tbl>
    <w:p w:rsidR="001859CD" w:rsidRPr="00981A65" w:rsidRDefault="001859CD" w:rsidP="00C659F2">
      <w:pPr>
        <w:rPr>
          <w:rFonts w:ascii="GHEA Grapalat" w:hAnsi="GHEA Grapalat"/>
          <w:lang w:val="hy-AM"/>
        </w:rPr>
      </w:pPr>
    </w:p>
    <w:sectPr w:rsidR="001859CD" w:rsidRPr="00981A65" w:rsidSect="00DA5149"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885"/>
    <w:multiLevelType w:val="hybridMultilevel"/>
    <w:tmpl w:val="AB4E6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AF9"/>
    <w:multiLevelType w:val="hybridMultilevel"/>
    <w:tmpl w:val="3918A4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4E91065"/>
    <w:multiLevelType w:val="hybridMultilevel"/>
    <w:tmpl w:val="544AF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424B5"/>
    <w:multiLevelType w:val="hybridMultilevel"/>
    <w:tmpl w:val="C0342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F78A2"/>
    <w:multiLevelType w:val="hybridMultilevel"/>
    <w:tmpl w:val="6F82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63E42"/>
    <w:multiLevelType w:val="hybridMultilevel"/>
    <w:tmpl w:val="33222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85190"/>
    <w:multiLevelType w:val="hybridMultilevel"/>
    <w:tmpl w:val="9074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1"/>
  </w:num>
  <w:num w:numId="5">
    <w:abstractNumId w:val="4"/>
  </w:num>
  <w:num w:numId="6">
    <w:abstractNumId w:val="8"/>
  </w:num>
  <w:num w:numId="7">
    <w:abstractNumId w:val="18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14"/>
  </w:num>
  <w:num w:numId="16">
    <w:abstractNumId w:val="1"/>
  </w:num>
  <w:num w:numId="17">
    <w:abstractNumId w:val="6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4E48C0"/>
    <w:rsid w:val="0000101D"/>
    <w:rsid w:val="0001064C"/>
    <w:rsid w:val="00082CFD"/>
    <w:rsid w:val="000937AE"/>
    <w:rsid w:val="000A44E5"/>
    <w:rsid w:val="000E6D5F"/>
    <w:rsid w:val="0010100C"/>
    <w:rsid w:val="00107823"/>
    <w:rsid w:val="00110C8B"/>
    <w:rsid w:val="00113C7C"/>
    <w:rsid w:val="001237C6"/>
    <w:rsid w:val="00137515"/>
    <w:rsid w:val="00143524"/>
    <w:rsid w:val="00164C43"/>
    <w:rsid w:val="001859CD"/>
    <w:rsid w:val="001A04C8"/>
    <w:rsid w:val="001A34A0"/>
    <w:rsid w:val="001F5027"/>
    <w:rsid w:val="001F5D6B"/>
    <w:rsid w:val="00244414"/>
    <w:rsid w:val="00251AF0"/>
    <w:rsid w:val="002741A8"/>
    <w:rsid w:val="002C43D5"/>
    <w:rsid w:val="002E2AF9"/>
    <w:rsid w:val="002F5532"/>
    <w:rsid w:val="00304F42"/>
    <w:rsid w:val="00314347"/>
    <w:rsid w:val="00317CA3"/>
    <w:rsid w:val="00334754"/>
    <w:rsid w:val="00343519"/>
    <w:rsid w:val="00350F02"/>
    <w:rsid w:val="003C5E15"/>
    <w:rsid w:val="003D1668"/>
    <w:rsid w:val="00411E7F"/>
    <w:rsid w:val="00417FCE"/>
    <w:rsid w:val="00425257"/>
    <w:rsid w:val="0043050E"/>
    <w:rsid w:val="00430641"/>
    <w:rsid w:val="00485EEA"/>
    <w:rsid w:val="004973F5"/>
    <w:rsid w:val="0049783D"/>
    <w:rsid w:val="004A1EC6"/>
    <w:rsid w:val="004A2807"/>
    <w:rsid w:val="004D0C63"/>
    <w:rsid w:val="004E48C0"/>
    <w:rsid w:val="004F182B"/>
    <w:rsid w:val="004F6F00"/>
    <w:rsid w:val="00502116"/>
    <w:rsid w:val="00504CE0"/>
    <w:rsid w:val="00520F1A"/>
    <w:rsid w:val="00531B09"/>
    <w:rsid w:val="00544EE3"/>
    <w:rsid w:val="00554281"/>
    <w:rsid w:val="0056188F"/>
    <w:rsid w:val="0056483E"/>
    <w:rsid w:val="00565E31"/>
    <w:rsid w:val="005A576A"/>
    <w:rsid w:val="005D4E53"/>
    <w:rsid w:val="005D5E4D"/>
    <w:rsid w:val="005E02C7"/>
    <w:rsid w:val="00604B11"/>
    <w:rsid w:val="006160B7"/>
    <w:rsid w:val="00624A4D"/>
    <w:rsid w:val="0063708A"/>
    <w:rsid w:val="00697217"/>
    <w:rsid w:val="006A2F26"/>
    <w:rsid w:val="006A54A3"/>
    <w:rsid w:val="006B1D27"/>
    <w:rsid w:val="006D4790"/>
    <w:rsid w:val="00717C67"/>
    <w:rsid w:val="007309D2"/>
    <w:rsid w:val="00735C38"/>
    <w:rsid w:val="00735D06"/>
    <w:rsid w:val="00760F18"/>
    <w:rsid w:val="00775518"/>
    <w:rsid w:val="007A14F0"/>
    <w:rsid w:val="007A17C1"/>
    <w:rsid w:val="007C5CD9"/>
    <w:rsid w:val="007D226A"/>
    <w:rsid w:val="007D607D"/>
    <w:rsid w:val="00802C83"/>
    <w:rsid w:val="00805967"/>
    <w:rsid w:val="00851FCD"/>
    <w:rsid w:val="00893785"/>
    <w:rsid w:val="008A12A6"/>
    <w:rsid w:val="008C0ECB"/>
    <w:rsid w:val="008C7304"/>
    <w:rsid w:val="008D0C59"/>
    <w:rsid w:val="008E696F"/>
    <w:rsid w:val="009050A2"/>
    <w:rsid w:val="00921400"/>
    <w:rsid w:val="009248A6"/>
    <w:rsid w:val="00935C4C"/>
    <w:rsid w:val="0094339A"/>
    <w:rsid w:val="00981A65"/>
    <w:rsid w:val="009B374A"/>
    <w:rsid w:val="009C0129"/>
    <w:rsid w:val="009C5FEA"/>
    <w:rsid w:val="009D0775"/>
    <w:rsid w:val="009F7F62"/>
    <w:rsid w:val="00A30269"/>
    <w:rsid w:val="00A34E80"/>
    <w:rsid w:val="00A47B7E"/>
    <w:rsid w:val="00A77EAE"/>
    <w:rsid w:val="00AA44F3"/>
    <w:rsid w:val="00AA4C3B"/>
    <w:rsid w:val="00AD6EFB"/>
    <w:rsid w:val="00AE2B84"/>
    <w:rsid w:val="00AE50FF"/>
    <w:rsid w:val="00B055F1"/>
    <w:rsid w:val="00B15D1A"/>
    <w:rsid w:val="00B80C7A"/>
    <w:rsid w:val="00BB020C"/>
    <w:rsid w:val="00BC2567"/>
    <w:rsid w:val="00BD423B"/>
    <w:rsid w:val="00BD6928"/>
    <w:rsid w:val="00C0635B"/>
    <w:rsid w:val="00C10B24"/>
    <w:rsid w:val="00C21983"/>
    <w:rsid w:val="00C26ACD"/>
    <w:rsid w:val="00C45438"/>
    <w:rsid w:val="00C61C6B"/>
    <w:rsid w:val="00C659F2"/>
    <w:rsid w:val="00C9375E"/>
    <w:rsid w:val="00CC37A1"/>
    <w:rsid w:val="00CD4B3C"/>
    <w:rsid w:val="00D17BF4"/>
    <w:rsid w:val="00D369C0"/>
    <w:rsid w:val="00D45F52"/>
    <w:rsid w:val="00D50D0B"/>
    <w:rsid w:val="00D67FC5"/>
    <w:rsid w:val="00D70608"/>
    <w:rsid w:val="00D73A58"/>
    <w:rsid w:val="00D94EAE"/>
    <w:rsid w:val="00DA5149"/>
    <w:rsid w:val="00DC29D8"/>
    <w:rsid w:val="00DC5D33"/>
    <w:rsid w:val="00E041FD"/>
    <w:rsid w:val="00E23E3E"/>
    <w:rsid w:val="00E46A55"/>
    <w:rsid w:val="00E541D7"/>
    <w:rsid w:val="00E5541B"/>
    <w:rsid w:val="00E6052F"/>
    <w:rsid w:val="00E64B41"/>
    <w:rsid w:val="00E72386"/>
    <w:rsid w:val="00ED6921"/>
    <w:rsid w:val="00F06EFB"/>
    <w:rsid w:val="00F153B7"/>
    <w:rsid w:val="00F41714"/>
    <w:rsid w:val="00F467ED"/>
    <w:rsid w:val="00F52C21"/>
    <w:rsid w:val="00F55B09"/>
    <w:rsid w:val="00F6352B"/>
    <w:rsid w:val="00FA6A63"/>
    <w:rsid w:val="00FB17E6"/>
    <w:rsid w:val="00F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25962-68F7-4878-8CD2-F83DDC16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E04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7735-1853-4A47-88F0-39F8070A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2419</Words>
  <Characters>13794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lastModifiedBy>Narine Sargsyan</cp:lastModifiedBy>
  <cp:revision>191</cp:revision>
  <cp:lastPrinted>2026-05-20T12:24:00Z</cp:lastPrinted>
  <dcterms:created xsi:type="dcterms:W3CDTF">2019-10-16T12:10:00Z</dcterms:created>
  <dcterms:modified xsi:type="dcterms:W3CDTF">2026-05-20T12:24:00Z</dcterms:modified>
</cp:coreProperties>
</file>