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80791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31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55AB9" w:rsidRDefault="00807914" w:rsidP="00E55AB9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E55AB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A34FC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6728D" w:rsidRDefault="0046728D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EF2AC7" w:rsidRDefault="00ED2175" w:rsidP="00A34FC1">
      <w:pPr>
        <w:jc w:val="center"/>
        <w:rPr>
          <w:rFonts w:ascii="GHEA Grapalat" w:hAnsi="GHEA Grapalat" w:cs="Sylfaen"/>
          <w:b/>
          <w:bCs/>
          <w:sz w:val="16"/>
          <w:szCs w:val="16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ՍՆՆԴԱՄԹԵՐՔԻ ԱՆՎՏԱՆԳՈՒԹՅԱՆ ՏԵՍՉԱԿԱՆ ՄԱՐՄՆԻ 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>ԻՐԱՎ</w:t>
      </w:r>
      <w:r w:rsidR="00DC29D8">
        <w:rPr>
          <w:rFonts w:ascii="GHEA Grapalat" w:eastAsia="Times New Roman" w:hAnsi="GHEA Grapalat" w:cs="Times New Roman"/>
          <w:b/>
          <w:sz w:val="24"/>
          <w:szCs w:val="24"/>
        </w:rPr>
        <w:t>ԱԿԱՆ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 xml:space="preserve"> ԱՋԱԿՑՈՒԹՅԱՆ ԵՎ ՓԱՍՏԱԹՂԹԱՇՐՋԱՆԱՌՈՒԹՅԱՆ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ՎԱՐՉՈՒԹՅԱՆ </w:t>
      </w:r>
      <w:r w:rsidR="0033632E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0472BF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0472BF" w:rsidRPr="000472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72BF">
        <w:rPr>
          <w:rFonts w:ascii="GHEA Grapalat" w:hAnsi="GHEA Grapalat" w:cs="Sylfaen"/>
          <w:b/>
          <w:bCs/>
          <w:sz w:val="24"/>
          <w:szCs w:val="24"/>
        </w:rPr>
        <w:t>ՊԵՏ</w:t>
      </w:r>
    </w:p>
    <w:p w:rsidR="00113C7C" w:rsidRPr="003C5E15" w:rsidRDefault="00113C7C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42588" w:rsidTr="007C2F6C">
        <w:trPr>
          <w:trHeight w:val="6228"/>
          <w:tblCellSpacing w:w="0" w:type="dxa"/>
          <w:jc w:val="center"/>
        </w:trPr>
        <w:tc>
          <w:tcPr>
            <w:tcW w:w="0" w:type="auto"/>
            <w:hideMark/>
          </w:tcPr>
          <w:p w:rsidR="008C7304" w:rsidRDefault="003C5E15" w:rsidP="00A34FC1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ED217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</w:t>
            </w:r>
            <w:r w:rsidR="00DC29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կան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E2AF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472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83F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</w:t>
            </w:r>
            <w:r w:rsidR="003363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աբանական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 (այսուհետ՝ Բաժին)</w:t>
            </w:r>
            <w:r w:rsidR="00082CD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պետ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AD60F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70-2</w:t>
            </w:r>
            <w:r w:rsid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6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.5</w:t>
            </w:r>
            <w:r w:rsidR="00FC04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-Ղ4</w:t>
            </w:r>
            <w:r w:rsidR="00483F95" w:rsidRP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1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Բաժնի պետն անմիջական</w:t>
            </w:r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 </w:t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ենթակա  և </w:t>
            </w:r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հաշվետու է </w:t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Վարչության պետին.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պետին 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ենթակա և հաշվետու են </w:t>
            </w:r>
            <w:r w:rsidR="00AD60FE">
              <w:rPr>
                <w:rFonts w:ascii="GHEA Grapalat" w:hAnsi="GHEA Grapalat"/>
                <w:sz w:val="24"/>
              </w:rPr>
              <w:t>Բ</w:t>
            </w:r>
            <w:r w:rsidR="00E82FA5">
              <w:rPr>
                <w:rFonts w:ascii="GHEA Grapalat" w:hAnsi="GHEA Grapalat"/>
                <w:sz w:val="24"/>
              </w:rPr>
              <w:t xml:space="preserve">աժնի աշխատողները.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1.4.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8C7304">
              <w:rPr>
                <w:rFonts w:ascii="GHEA Grapalat" w:hAnsi="GHEA Grapalat"/>
                <w:sz w:val="24"/>
              </w:rPr>
              <w:t xml:space="preserve">Վարչության </w:t>
            </w:r>
            <w:r w:rsidR="00F2509F">
              <w:rPr>
                <w:rFonts w:ascii="GHEA Grapalat" w:hAnsi="GHEA Grapalat"/>
                <w:sz w:val="24"/>
              </w:rPr>
              <w:t>պետը</w:t>
            </w:r>
            <w:r w:rsidR="0046728D">
              <w:rPr>
                <w:rFonts w:ascii="GHEA Grapalat" w:hAnsi="GHEA Grapalat"/>
                <w:sz w:val="24"/>
              </w:rPr>
              <w:t xml:space="preserve"> </w:t>
            </w:r>
            <w:r w:rsidR="00E82FA5">
              <w:rPr>
                <w:rFonts w:ascii="GHEA Grapalat" w:hAnsi="GHEA Grapalat"/>
                <w:sz w:val="24"/>
              </w:rPr>
              <w:t xml:space="preserve">կամ </w:t>
            </w:r>
            <w:r w:rsidR="00BA5D60">
              <w:rPr>
                <w:rFonts w:ascii="GHEA Grapalat" w:hAnsi="GHEA Grapalat"/>
                <w:sz w:val="24"/>
                <w:lang w:val="ru-RU"/>
              </w:rPr>
              <w:t>Բ</w:t>
            </w:r>
            <w:r w:rsidR="00740B80">
              <w:rPr>
                <w:rFonts w:ascii="GHEA Grapalat" w:hAnsi="GHEA Grapalat"/>
                <w:sz w:val="24"/>
                <w:lang w:val="ru-RU"/>
              </w:rPr>
              <w:t>աժնի</w:t>
            </w:r>
            <w:r w:rsidR="00740B80" w:rsidRPr="00740B80">
              <w:rPr>
                <w:rFonts w:ascii="GHEA Grapalat" w:hAnsi="GHEA Grapalat"/>
                <w:sz w:val="24"/>
              </w:rPr>
              <w:t xml:space="preserve"> </w:t>
            </w:r>
            <w:r w:rsidR="007C2F6C">
              <w:rPr>
                <w:rFonts w:ascii="GHEA Grapalat" w:hAnsi="GHEA Grapalat"/>
                <w:sz w:val="24"/>
              </w:rPr>
              <w:t>գ</w:t>
            </w:r>
            <w:r w:rsidR="00E82FA5">
              <w:rPr>
                <w:rFonts w:ascii="GHEA Grapalat" w:hAnsi="GHEA Grapalat"/>
                <w:sz w:val="24"/>
              </w:rPr>
              <w:t xml:space="preserve">լխավոր </w:t>
            </w:r>
            <w:r w:rsidR="00483F95">
              <w:rPr>
                <w:rFonts w:ascii="GHEA Grapalat" w:hAnsi="GHEA Grapalat"/>
                <w:sz w:val="24"/>
              </w:rPr>
              <w:t>մասնագետ</w:t>
            </w:r>
            <w:r w:rsidR="008C7304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</w:p>
          <w:p w:rsidR="003C5E15" w:rsidRDefault="003C5E15" w:rsidP="00A34FC1">
            <w:pPr>
              <w:spacing w:after="0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1.5.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46728D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46728D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  <w:p w:rsidR="00A34FC1" w:rsidRDefault="00A34FC1" w:rsidP="00A34FC1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34FC1" w:rsidRPr="00A34FC1" w:rsidRDefault="00A34FC1" w:rsidP="00A34FC1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ստորաբաժանումների կողմից մշակված իրավական ակտերի նախագծերի իրավական փորձաքննության իրականացման աշխատանքները.</w:t>
            </w: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կառավարությունից,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նախարարություններից և այլ մարմիններից ստացված օրենքների և իրավական այլ ակտերի նախագծերի վերաբերյալ կարծիքների տրամադրման աշխատանքները.</w:t>
            </w: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3D4AD6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082980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="003D4AD6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3D4AD6" w:rsidRPr="003D4AD6" w:rsidRDefault="003D4AD6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>կազմակերպում է Տեսչական մարմնի ենթակայությանը հանձնված պետական ոչ առևտրային կազմակերպության իրավական գոր</w:t>
            </w:r>
            <w:r w:rsidR="00F14678"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խմբերին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և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անդամակցությունից բխող իրավական ակտերի մշակմանը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իրավասության սահմաններում Տեսչական մարմնի կողմից իրականացվող պետական  վերահսկողությանը և վարչական վարույթներին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C2F6C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40B80" w:rsidRPr="00740B80" w:rsidRDefault="00740B80" w:rsidP="00740B80">
            <w:pPr>
              <w:pStyle w:val="ListParagraph"/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7C2F6C" w:rsidRPr="009667FD" w:rsidRDefault="007C2F6C" w:rsidP="007C2F6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2F6C" w:rsidRPr="00626CC1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 մարմնի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կառուցվածքային ստորաբաժանումներից, այլ մարմիններից,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պաշտոնատար անձանցից </w:t>
            </w:r>
            <w:r w:rsidR="00D55986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</w:rPr>
              <w:t>տեղեկատվությ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>ն և նյութեր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ըստ անհրաժեշտության, 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>ներկայացնել առաջարկություններ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>աշխատանքներին մասնագետներ, փորձագետներ, գիտական հաստատությունների ներկայացուցիչներ ներգրավելու վերաբերյալ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 xml:space="preserve">ներկայացնել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վերաբերյալ.</w:t>
            </w:r>
          </w:p>
          <w:p w:rsidR="007C2F6C" w:rsidRPr="007C2F6C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խորհրդակցություններ, ինչպես նաև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C2F6C" w:rsidRPr="007C2F6C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աշխատողներից </w:t>
            </w:r>
            <w:r w:rsidR="004F738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իրենց իրավասությանը վերապահված ոլորտում կատարվող աշխատանքների և իրականացված ծրագրերի, աշխատանքների վերաբերյալ հաշվետվություններ, զեկուցագրեր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C2F6C" w:rsidRPr="007C2F6C" w:rsidRDefault="00A965AE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մարմիններում և կազմակերպություններում </w:t>
            </w: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ննդամթերքի և կերի անվտանգության, բուսասանիտարիայի ոլորտներին առնչվող</w:t>
            </w: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իրավական ակտերի նախագծերի քննարկման նպատակով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կազմակերպվող քննարկումներին.</w:t>
            </w:r>
          </w:p>
          <w:p w:rsidR="007C2F6C" w:rsidRPr="007B367C" w:rsidRDefault="007C2F6C" w:rsidP="007B367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</w:t>
            </w:r>
            <w:r w:rsidR="00D55C4D">
              <w:rPr>
                <w:rFonts w:ascii="GHEA Grapalat" w:hAnsi="GHEA Grapalat" w:cs="Sylfaen"/>
                <w:sz w:val="24"/>
                <w:szCs w:val="24"/>
                <w:lang w:val="hy-AM"/>
              </w:rPr>
              <w:t>աստաթղթ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նախագծերի մշակման աշխատանքների իրականացման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նպատակով </w:t>
            </w:r>
            <w:r w:rsidR="007B367C"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քննարկումներ.</w:t>
            </w:r>
          </w:p>
          <w:p w:rsidR="007B367C" w:rsidRPr="007B367C" w:rsidRDefault="007B367C" w:rsidP="007B367C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2F6C" w:rsidRPr="007C5CD9" w:rsidRDefault="007C2F6C" w:rsidP="007C2F6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C2F6C" w:rsidRPr="0049783D" w:rsidRDefault="00A965AE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հետևել Բաժնի գործունեության ոլորտին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առնչվող պայմանագրերի, համաձայնագրերի, լիազորագրերի, հանձնարարականների և այլ </w:t>
            </w:r>
            <w:r w:rsidR="00D55C4D">
              <w:rPr>
                <w:rFonts w:ascii="GHEA Grapalat" w:hAnsi="GHEA Grapalat" w:cs="Arial"/>
                <w:color w:val="0D0D0D"/>
                <w:sz w:val="24"/>
                <w:szCs w:val="24"/>
              </w:rPr>
              <w:t>փաստաթղթ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երի նախագծերի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մշակման աշխատանքներին, անհրաժեշտության դեպքում, ցուցաբերել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իրավական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աջակցություն, ինչպես նաև օրենսդրության պահանջների խախտումներ հայտնաբերելու դեպքում պահանջել անհապաղ վերացնել դրանք 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.</w:t>
            </w:r>
          </w:p>
          <w:p w:rsidR="007C2F6C" w:rsidRPr="007B367C" w:rsidRDefault="007C2F6C" w:rsidP="007B367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Տեսչական մարմնի կողմից մշակված օրենսդրական և այլ ակտերի նախագծերի</w:t>
            </w:r>
            <w:r w:rsidR="007B367C">
              <w:rPr>
                <w:rFonts w:ascii="GHEA Grapalat" w:hAnsi="GHEA Grapalat" w:cs="Arial"/>
                <w:color w:val="0D0D0D"/>
                <w:sz w:val="24"/>
                <w:szCs w:val="24"/>
              </w:rPr>
              <w:t>, ինչպես նաև</w:t>
            </w:r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r w:rsidR="007B367C" w:rsidRP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Բ</w:t>
            </w:r>
            <w:r w:rsid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աժնի </w:t>
            </w:r>
            <w:r w:rsidR="007B367C" w:rsidRPr="000E6D5F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գործունեությանն առնչվող պայմանագրերի, համաձայնագրերի, լիազորագրերի, հանձնարարականների և այլ </w:t>
            </w:r>
            <w:r w:rsidR="00D55C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lastRenderedPageBreak/>
              <w:t>փաստաթղթ</w:t>
            </w:r>
            <w:r w:rsidR="007B367C" w:rsidRPr="000E6D5F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երի նախագծերի</w:t>
            </w:r>
            <w:r w:rsid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P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վերաբերյալ տրամադրել իրավական-փորձագիտական և մասնագիտական  եզրակացություններ. </w:t>
            </w:r>
          </w:p>
          <w:p w:rsidR="007B367C" w:rsidRPr="00F14678" w:rsidRDefault="007B367C" w:rsidP="007B367C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լիազորագրի հիման վրա հանդես գալ Հ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այաստանի 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անրապետության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դատարաններում որպես հայցվորի և պատասխանողի ներկայացուցիչ և ներկայացնել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շահերը.</w:t>
            </w:r>
          </w:p>
          <w:p w:rsidR="007C2F6C" w:rsidRPr="000E6D5F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C2F6C" w:rsidRPr="005F69E0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Բաժին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հասցեագրված դիմում-բողոքների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առնչությամբ մասնագիտական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պարզաբանումներ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ներկայաց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նել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,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քաղաքացիներին 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տրամադրել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իրավաբանական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խորհրդատվությ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ուն</w:t>
            </w:r>
            <w:r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C2F6C" w:rsidRPr="00D3786F" w:rsidRDefault="00DA48F3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ուսումնասիր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ել</w:t>
            </w:r>
            <w:r w:rsidRPr="00D3786F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7B367C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ակտեր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7B367C" w:rsidRPr="007B367C">
              <w:rPr>
                <w:rFonts w:ascii="GHEA Grapalat" w:eastAsia="Sylfaen" w:hAnsi="GHEA Grapalat" w:cs="Sylfaen"/>
                <w:sz w:val="24"/>
                <w:lang w:val="hy-AM"/>
              </w:rPr>
              <w:t>, ներկայացնել դրանցում առկա օրենսդրական բացերի, հակասությունների վերացմանն ուղղված առաջարկություններ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:rsidR="007C2F6C" w:rsidRPr="007F1DEF" w:rsidRDefault="00DA48F3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ստուգ</w:t>
            </w:r>
            <w:r w:rsidRPr="00DA48F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</w:t>
            </w:r>
            <w:r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 և կերի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անվտանգության, անասնաբուժության և բուսասանիտարիայի</w:t>
            </w:r>
            <w:r w:rsidR="007C2F6C" w:rsidRPr="0026235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ոլորտներում կնքվող</w:t>
            </w:r>
            <w:r w:rsidR="007C2F6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՝ Բաժնի իրավասության վերապահված ոլորտների</w:t>
            </w:r>
            <w:r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</w:t>
            </w:r>
            <w:r w:rsidR="007C2F6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առնչվող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միջազգային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ճշտությ</w:t>
            </w:r>
            <w:r w:rsidRPr="00DA48F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ունը.</w:t>
            </w:r>
          </w:p>
          <w:p w:rsidR="007C2F6C" w:rsidRPr="00FE713A" w:rsidRDefault="007B367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ակտերի հարկադիր կատարման փուլում ներկայացուցչական </w:t>
            </w:r>
            <w:r w:rsid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>ին, անհրաժեշտության դեպքում ցուցաբերել մեթոդական, իրավական աջակցություն</w:t>
            </w:r>
            <w:r w:rsidR="007C2F6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D0718B" w:rsidRPr="00D0718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7C2F6C" w:rsidRDefault="007B367C" w:rsidP="007C2F6C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</w:t>
            </w:r>
            <w:r w:rsidR="00DA48F3" w:rsidRP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վերապահված ոլորտներում վերջինիս տրված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գործառույթներին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դատարանում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հայցվոր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որպես պատասխանող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գալու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>ին, անհրաժեշտության դեպքում ցուցաբերել մեթոդական և իրավական աջակցություն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C2F6C" w:rsidRPr="007C2F6C" w:rsidRDefault="007C2F6C" w:rsidP="007C2F6C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 հ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այցադիմումներ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հայցադիմումների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դիրքորոշումներ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առարկություններ</w:t>
            </w:r>
            <w:r w:rsidR="00D55C4D" w:rsidRPr="00D55C4D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դ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ատարանների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վճիռների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բերելու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ներկայացնելու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 ընթացքին, անհրաժեշտություն դեպքում տրամադրել իրավական աջակցություն և եզրակացություններ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642588" w:rsidTr="007C2F6C">
        <w:trPr>
          <w:trHeight w:val="51"/>
          <w:tblCellSpacing w:w="0" w:type="dxa"/>
          <w:jc w:val="center"/>
        </w:trPr>
        <w:tc>
          <w:tcPr>
            <w:tcW w:w="0" w:type="auto"/>
            <w:hideMark/>
          </w:tcPr>
          <w:p w:rsidR="003C5E15" w:rsidRPr="00DA48F3" w:rsidRDefault="003C5E15" w:rsidP="007C2F6C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7C2F6C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42588" w:rsidRDefault="003C5E15" w:rsidP="00A34FC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C2F6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740B80" w:rsidRPr="00642588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40B80" w:rsidRPr="00642588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775629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740B80" w:rsidRPr="00642588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775629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740B80" w:rsidRPr="00642588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80" w:rsidRPr="00775629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042101.00.6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DA48F3" w:rsidRDefault="003C5E15" w:rsidP="00A34FC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 w:cs="Sylfaen"/>
                <w:lang w:val="hy-AM"/>
              </w:rPr>
              <w:t>Ունի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իրականացման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համար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անհրաժեշտ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գիտելիքներ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/>
                <w:b/>
                <w:lang w:val="hy-AM"/>
              </w:rPr>
              <w:t>3.3.</w:t>
            </w:r>
            <w:r w:rsidRPr="007C2F6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="00775518" w:rsidRPr="007C2F6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DA48F3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656D8A" w:rsidRPr="00656D8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E67" w:rsidRPr="007C2F6C">
              <w:rPr>
                <w:rFonts w:ascii="GHEA Grapalat" w:hAnsi="GHEA Grapalat" w:cs="Sylfaen"/>
                <w:lang w:val="hy-AM"/>
              </w:rPr>
              <w:t xml:space="preserve">իրավունքի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56D8A" w:rsidRPr="00656D8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7C2F6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A48F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DA48F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A48F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A48F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A34FC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241EEA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241EE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740B80" w:rsidRDefault="0000101D" w:rsidP="00740B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A34FC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171AE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40B80" w:rsidRDefault="00531B09" w:rsidP="00740B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Ժողովների և խորհրդակցությունների կազմակերպում և </w:t>
            </w:r>
            <w:r w:rsidR="00740B80">
              <w:rPr>
                <w:rFonts w:ascii="GHEA Grapalat" w:hAnsi="GHEA Grapalat"/>
                <w:sz w:val="24"/>
              </w:rPr>
              <w:t>վարու</w:t>
            </w:r>
            <w:r w:rsidR="00740B80">
              <w:rPr>
                <w:rFonts w:ascii="GHEA Grapalat" w:hAnsi="GHEA Grapalat"/>
                <w:sz w:val="24"/>
                <w:lang w:val="ru-RU"/>
              </w:rPr>
              <w:t>մ</w:t>
            </w: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901D8E" w:rsidRDefault="0043050E" w:rsidP="00A34FC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Աշխատանքի կազմակերպման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և 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 պատասխանատվությունը</w:t>
            </w:r>
          </w:p>
          <w:p w:rsidR="00D17BF4" w:rsidRPr="00901D8E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  <w:r w:rsidR="00CC5C9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D0703D" w:rsidRDefault="0043050E" w:rsidP="00A34FC1">
            <w:pPr>
              <w:jc w:val="both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lastRenderedPageBreak/>
              <w:t>4.2. Որոշումներ կայացնելու լիազորություններ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43050E" w:rsidRPr="00D0703D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  <w:r w:rsidR="0043050E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901D8E" w:rsidRDefault="0043050E" w:rsidP="00A34FC1">
            <w:pPr>
              <w:jc w:val="both"/>
              <w:rPr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4.3.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ործունեության ազդեցություն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</w:p>
          <w:p w:rsidR="00901D8E" w:rsidRDefault="00D0703D" w:rsidP="00A34FC1">
            <w:pPr>
              <w:jc w:val="both"/>
              <w:rPr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</w:t>
            </w:r>
            <w:r w:rsidR="00901D8E">
              <w:rPr>
                <w:rFonts w:ascii="GHEA Grapalat" w:hAnsi="GHEA Grapalat"/>
                <w:color w:val="000000"/>
                <w:sz w:val="24"/>
                <w:szCs w:val="24"/>
              </w:rPr>
              <w:t>ւն:</w:t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04CF">
              <w:rPr>
                <w:rFonts w:ascii="GHEA Grapalat" w:hAnsi="GHEA Grapalat"/>
                <w:b/>
                <w:sz w:val="24"/>
                <w:szCs w:val="24"/>
              </w:rPr>
              <w:t xml:space="preserve">4.4. </w:t>
            </w:r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Շփումներ և ներկայացուցչություն</w:t>
            </w:r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C04CF">
              <w:rPr>
                <w:rFonts w:ascii="GHEA Grapalat" w:hAnsi="GHEA Grapalat"/>
                <w:sz w:val="24"/>
                <w:szCs w:val="24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4.5. Խնդիրների բարդությունը և դրանց լուծումը</w:t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3C5E15" w:rsidRPr="00FC04CF" w:rsidRDefault="00FC04CF" w:rsidP="00FC04CF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C04CF">
              <w:rPr>
                <w:rFonts w:ascii="GHEA Grapalat" w:hAnsi="GHEA Grapalat"/>
                <w:sz w:val="24"/>
                <w:szCs w:val="24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1859CD" w:rsidRPr="00D45F52" w:rsidRDefault="001859CD" w:rsidP="00A34FC1">
      <w:pPr>
        <w:rPr>
          <w:rFonts w:ascii="GHEA Grapalat" w:hAnsi="GHEA Grapalat"/>
        </w:rPr>
      </w:pPr>
    </w:p>
    <w:sectPr w:rsidR="001859CD" w:rsidRPr="00D45F52" w:rsidSect="0046728D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B0" w:rsidRDefault="00C713B0" w:rsidP="00A34FC1">
      <w:pPr>
        <w:spacing w:after="0" w:line="240" w:lineRule="auto"/>
      </w:pPr>
      <w:r>
        <w:separator/>
      </w:r>
    </w:p>
  </w:endnote>
  <w:endnote w:type="continuationSeparator" w:id="0">
    <w:p w:rsidR="00C713B0" w:rsidRDefault="00C713B0" w:rsidP="00A3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B0" w:rsidRDefault="00C713B0" w:rsidP="00A34FC1">
      <w:pPr>
        <w:spacing w:after="0" w:line="240" w:lineRule="auto"/>
      </w:pPr>
      <w:r>
        <w:separator/>
      </w:r>
    </w:p>
  </w:footnote>
  <w:footnote w:type="continuationSeparator" w:id="0">
    <w:p w:rsidR="00C713B0" w:rsidRDefault="00C713B0" w:rsidP="00A3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6198"/>
    <w:multiLevelType w:val="hybridMultilevel"/>
    <w:tmpl w:val="92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DD29EB"/>
    <w:multiLevelType w:val="hybridMultilevel"/>
    <w:tmpl w:val="A72E2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769597C"/>
    <w:multiLevelType w:val="hybridMultilevel"/>
    <w:tmpl w:val="C148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7697"/>
    <w:multiLevelType w:val="hybridMultilevel"/>
    <w:tmpl w:val="C1DE0C8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7" w15:restartNumberingAfterBreak="0">
    <w:nsid w:val="5D9E3C14"/>
    <w:multiLevelType w:val="hybridMultilevel"/>
    <w:tmpl w:val="101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B2C81"/>
    <w:multiLevelType w:val="hybridMultilevel"/>
    <w:tmpl w:val="2F88F7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415FA0"/>
    <w:multiLevelType w:val="hybridMultilevel"/>
    <w:tmpl w:val="9ED84A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0243"/>
    <w:multiLevelType w:val="hybridMultilevel"/>
    <w:tmpl w:val="F36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23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8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3"/>
  </w:num>
  <w:num w:numId="19">
    <w:abstractNumId w:val="21"/>
  </w:num>
  <w:num w:numId="20">
    <w:abstractNumId w:val="17"/>
  </w:num>
  <w:num w:numId="21">
    <w:abstractNumId w:val="16"/>
  </w:num>
  <w:num w:numId="22">
    <w:abstractNumId w:val="1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472BF"/>
    <w:rsid w:val="0006478F"/>
    <w:rsid w:val="00082980"/>
    <w:rsid w:val="00082CD1"/>
    <w:rsid w:val="00102693"/>
    <w:rsid w:val="00113C7C"/>
    <w:rsid w:val="00143BAF"/>
    <w:rsid w:val="001859CD"/>
    <w:rsid w:val="001B46EE"/>
    <w:rsid w:val="001C1457"/>
    <w:rsid w:val="001D0132"/>
    <w:rsid w:val="001D244F"/>
    <w:rsid w:val="002871A5"/>
    <w:rsid w:val="002B4690"/>
    <w:rsid w:val="002B48B4"/>
    <w:rsid w:val="002D65B7"/>
    <w:rsid w:val="002E2AF9"/>
    <w:rsid w:val="00334754"/>
    <w:rsid w:val="0033632E"/>
    <w:rsid w:val="00343519"/>
    <w:rsid w:val="00371ECF"/>
    <w:rsid w:val="00382406"/>
    <w:rsid w:val="003C5E15"/>
    <w:rsid w:val="003D4AD6"/>
    <w:rsid w:val="003F4692"/>
    <w:rsid w:val="00406C59"/>
    <w:rsid w:val="00410BB6"/>
    <w:rsid w:val="00411E7F"/>
    <w:rsid w:val="00425257"/>
    <w:rsid w:val="0043050E"/>
    <w:rsid w:val="00430641"/>
    <w:rsid w:val="0046728D"/>
    <w:rsid w:val="00483F95"/>
    <w:rsid w:val="004906B8"/>
    <w:rsid w:val="00491EE6"/>
    <w:rsid w:val="004973F5"/>
    <w:rsid w:val="00497620"/>
    <w:rsid w:val="004A015D"/>
    <w:rsid w:val="004D3E67"/>
    <w:rsid w:val="004D476C"/>
    <w:rsid w:val="004E48C0"/>
    <w:rsid w:val="004F7386"/>
    <w:rsid w:val="00531B09"/>
    <w:rsid w:val="00545FD3"/>
    <w:rsid w:val="00547E01"/>
    <w:rsid w:val="00553A12"/>
    <w:rsid w:val="00556B8C"/>
    <w:rsid w:val="0056416A"/>
    <w:rsid w:val="005D1F7E"/>
    <w:rsid w:val="00642588"/>
    <w:rsid w:val="0065365A"/>
    <w:rsid w:val="00656D8A"/>
    <w:rsid w:val="00675FE9"/>
    <w:rsid w:val="006B1D27"/>
    <w:rsid w:val="006B362E"/>
    <w:rsid w:val="006E7E05"/>
    <w:rsid w:val="00740B80"/>
    <w:rsid w:val="00774EA2"/>
    <w:rsid w:val="00775518"/>
    <w:rsid w:val="00775629"/>
    <w:rsid w:val="007A6A58"/>
    <w:rsid w:val="007B367C"/>
    <w:rsid w:val="007C2F6C"/>
    <w:rsid w:val="007C5CD9"/>
    <w:rsid w:val="007D607D"/>
    <w:rsid w:val="007E29BA"/>
    <w:rsid w:val="007F1DEF"/>
    <w:rsid w:val="00807914"/>
    <w:rsid w:val="008150D7"/>
    <w:rsid w:val="00831F1C"/>
    <w:rsid w:val="00864343"/>
    <w:rsid w:val="008B7A9A"/>
    <w:rsid w:val="008C7304"/>
    <w:rsid w:val="008E696F"/>
    <w:rsid w:val="00901472"/>
    <w:rsid w:val="00901D8E"/>
    <w:rsid w:val="009667FD"/>
    <w:rsid w:val="009C2EDC"/>
    <w:rsid w:val="009D0775"/>
    <w:rsid w:val="00A0500D"/>
    <w:rsid w:val="00A2685F"/>
    <w:rsid w:val="00A34FC1"/>
    <w:rsid w:val="00A778EA"/>
    <w:rsid w:val="00A965AE"/>
    <w:rsid w:val="00AA4C3B"/>
    <w:rsid w:val="00AD60FE"/>
    <w:rsid w:val="00AE2B84"/>
    <w:rsid w:val="00BA5D60"/>
    <w:rsid w:val="00BD105B"/>
    <w:rsid w:val="00BF0BE3"/>
    <w:rsid w:val="00C0155E"/>
    <w:rsid w:val="00C446F8"/>
    <w:rsid w:val="00C45438"/>
    <w:rsid w:val="00C47128"/>
    <w:rsid w:val="00C713B0"/>
    <w:rsid w:val="00C9375E"/>
    <w:rsid w:val="00CC5C95"/>
    <w:rsid w:val="00D0703D"/>
    <w:rsid w:val="00D0718B"/>
    <w:rsid w:val="00D17BF4"/>
    <w:rsid w:val="00D45F52"/>
    <w:rsid w:val="00D5591B"/>
    <w:rsid w:val="00D55986"/>
    <w:rsid w:val="00D55C4D"/>
    <w:rsid w:val="00D63A30"/>
    <w:rsid w:val="00D65319"/>
    <w:rsid w:val="00D918F5"/>
    <w:rsid w:val="00DA48F3"/>
    <w:rsid w:val="00DB1BE9"/>
    <w:rsid w:val="00DC29D8"/>
    <w:rsid w:val="00DE1A06"/>
    <w:rsid w:val="00E06799"/>
    <w:rsid w:val="00E17DBA"/>
    <w:rsid w:val="00E23E3E"/>
    <w:rsid w:val="00E453DB"/>
    <w:rsid w:val="00E555CF"/>
    <w:rsid w:val="00E55AB9"/>
    <w:rsid w:val="00E64B41"/>
    <w:rsid w:val="00E72386"/>
    <w:rsid w:val="00E82FA5"/>
    <w:rsid w:val="00EC29D2"/>
    <w:rsid w:val="00ED2175"/>
    <w:rsid w:val="00EF2AC7"/>
    <w:rsid w:val="00EF61DC"/>
    <w:rsid w:val="00F14678"/>
    <w:rsid w:val="00F2509F"/>
    <w:rsid w:val="00F5445B"/>
    <w:rsid w:val="00F55B09"/>
    <w:rsid w:val="00FB0C58"/>
    <w:rsid w:val="00FC04CF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39FB"/>
  <w15:docId w15:val="{BBE7320F-DA60-4216-A8D9-6E794A4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D1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F7E"/>
  </w:style>
  <w:style w:type="paragraph" w:styleId="Header">
    <w:name w:val="header"/>
    <w:basedOn w:val="Normal"/>
    <w:link w:val="HeaderChar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C1"/>
  </w:style>
  <w:style w:type="paragraph" w:styleId="Footer">
    <w:name w:val="footer"/>
    <w:basedOn w:val="Normal"/>
    <w:link w:val="FooterChar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C1"/>
  </w:style>
  <w:style w:type="character" w:styleId="CommentReference">
    <w:name w:val="annotation reference"/>
    <w:basedOn w:val="DefaultParagraphFont"/>
    <w:uiPriority w:val="99"/>
    <w:semiHidden/>
    <w:unhideWhenUsed/>
    <w:rsid w:val="00553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4A46-C726-4651-A190-1BE67DE2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111</cp:revision>
  <cp:lastPrinted>2020-01-24T05:53:00Z</cp:lastPrinted>
  <dcterms:created xsi:type="dcterms:W3CDTF">2020-01-12T11:43:00Z</dcterms:created>
  <dcterms:modified xsi:type="dcterms:W3CDTF">2021-09-15T07:34:00Z</dcterms:modified>
</cp:coreProperties>
</file>