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E2" w:rsidRPr="007067C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47F5E"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="007067CB">
        <w:rPr>
          <w:rFonts w:ascii="GHEA Grapalat" w:eastAsia="Times New Roman" w:hAnsi="GHEA Grapalat" w:cs="Sylfaen"/>
          <w:sz w:val="16"/>
          <w:szCs w:val="16"/>
          <w:lang w:val="ru-RU"/>
        </w:rPr>
        <w:t>276</w:t>
      </w:r>
    </w:p>
    <w:p w:rsidR="007067CB" w:rsidRPr="007067CB" w:rsidRDefault="007067CB" w:rsidP="007067CB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 w:rsidRPr="003546E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Sylfaen"/>
          <w:sz w:val="16"/>
          <w:szCs w:val="16"/>
        </w:rPr>
        <w:t>է</w:t>
      </w:r>
    </w:p>
    <w:p w:rsidR="007067CB" w:rsidRPr="007067CB" w:rsidRDefault="007067CB" w:rsidP="007067CB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 w:rsidRPr="003546ED">
        <w:rPr>
          <w:rFonts w:ascii="GHEA Grapalat" w:eastAsia="Times New Roman" w:hAnsi="GHEA Grapalat" w:cs="Times New Roman"/>
          <w:sz w:val="16"/>
          <w:szCs w:val="16"/>
        </w:rPr>
        <w:t>Հայաստանի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546ED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Times New Roman"/>
          <w:sz w:val="16"/>
          <w:szCs w:val="16"/>
        </w:rPr>
        <w:t>սննդամթերքի</w:t>
      </w:r>
    </w:p>
    <w:p w:rsidR="007067CB" w:rsidRPr="007067CB" w:rsidRDefault="007067CB" w:rsidP="007067CB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Times New Roman"/>
          <w:sz w:val="16"/>
          <w:szCs w:val="16"/>
        </w:rPr>
        <w:t>տեսչական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Times New Roman"/>
          <w:sz w:val="16"/>
          <w:szCs w:val="16"/>
        </w:rPr>
        <w:t>մարմնի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Pr="003546E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546ED">
        <w:rPr>
          <w:rFonts w:ascii="GHEA Grapalat" w:eastAsia="Times New Roman" w:hAnsi="GHEA Grapalat" w:cs="Times New Roman"/>
          <w:sz w:val="16"/>
          <w:szCs w:val="16"/>
        </w:rPr>
        <w:t>ի</w:t>
      </w:r>
      <w:r w:rsidRPr="007067C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</w:p>
    <w:p w:rsidR="007067CB" w:rsidRPr="003546ED" w:rsidRDefault="007067CB" w:rsidP="007067CB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3546E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7067C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2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1</w:t>
      </w:r>
      <w:r w:rsidRPr="003546E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հոկտեմբերի 27</w:t>
      </w:r>
      <w:r w:rsidRPr="007067C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-</w:t>
      </w:r>
      <w:r w:rsidRPr="003546E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7067C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 xml:space="preserve"> </w:t>
      </w:r>
      <w:r w:rsidRPr="003546E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3546E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923</w:t>
      </w:r>
      <w:r w:rsidRPr="007067C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-</w:t>
      </w:r>
      <w:r w:rsidRPr="003546E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7067C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 xml:space="preserve"> </w:t>
      </w:r>
      <w:r w:rsidRPr="003546E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B47F5E" w:rsidRDefault="00B47F5E" w:rsidP="00833B8B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</w:p>
    <w:p w:rsidR="002A7BE2" w:rsidRPr="00833B8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33B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833B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5692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278D2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իրավական աջակցության և փաստաթղթաշրջանառության վարչության (այսուհետ՝ Վարչություն) փաստաթղթաշրջանառության բաժնի (այսուհետ՝ Բաժին)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BB32A9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85692A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1D2F31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692A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C5349B"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6278D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6278D2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</w:t>
            </w:r>
            <w:r w:rsidR="006278D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6278D2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6278D2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6278D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278D2" w:rsidRPr="003D4BD3">
              <w:rPr>
                <w:rFonts w:ascii="GHEA Grapalat" w:hAnsi="GHEA Grapalat"/>
                <w:sz w:val="24"/>
                <w:lang w:val="hy-AM"/>
              </w:rPr>
              <w:t xml:space="preserve">Բաժնի գլխավոր մասնագետը կամ </w:t>
            </w:r>
            <w:r w:rsidR="006278D2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6278D2" w:rsidRPr="00D50AB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278D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278D2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6278D2">
              <w:rPr>
                <w:rFonts w:ascii="GHEA Grapalat" w:hAnsi="GHEA Grapalat"/>
                <w:sz w:val="24"/>
                <w:lang w:val="hy-AM"/>
              </w:rPr>
              <w:t>մասնագետներից մեկը</w:t>
            </w:r>
            <w:r w:rsidR="006278D2" w:rsidRPr="009A6B78">
              <w:rPr>
                <w:rFonts w:ascii="GHEA Grapalat" w:hAnsi="GHEA Grapalat"/>
                <w:sz w:val="24"/>
                <w:lang w:val="hy-AM"/>
              </w:rPr>
              <w:t>.</w:t>
            </w:r>
            <w:bookmarkStart w:id="0" w:name="_GoBack"/>
            <w:bookmarkEnd w:id="0"/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278D2" w:rsidTr="0085692A">
        <w:trPr>
          <w:trHeight w:val="106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13ED7" w:rsidRPr="00213ED7" w:rsidRDefault="00213ED7" w:rsidP="001E08A9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15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ռազմական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ռեժիմի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մշակման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աջակցությունը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իրագործմանը</w:t>
            </w:r>
            <w:r w:rsidR="009940A4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1E08A9" w:rsidRDefault="00213ED7" w:rsidP="001E08A9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մարմնում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պահեստազորայինների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ամրագրման, նրանց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զինվորական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պահեստազորային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զորակոչին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ներգրավման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ուղղությամբ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զինվորական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9940A4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0213D3" w:rsidRPr="000213D3" w:rsidRDefault="00213ED7" w:rsidP="000213D3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ուսումնավարժական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հավաքներին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պարապմունքներին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աշխատանքները</w:t>
            </w:r>
            <w:r w:rsidR="009940A4" w:rsidRPr="000213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213ED7" w:rsidRPr="000213D3" w:rsidRDefault="000213D3" w:rsidP="000213D3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 Հայաստանի Հանրապետության օրենքներով,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դրանցից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նորմատիվ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51F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af-ZA"/>
              </w:rPr>
              <w:t>եսչական մարմնի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համար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 ապահովման գործընթացը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213ED7" w:rsidRPr="000213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ղեկավարի կողմից ստորագրված հրամանների համարակալման աշխատանքները.</w:t>
            </w:r>
          </w:p>
          <w:p w:rsidR="0004372D" w:rsidRPr="0004372D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805CF8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</w:t>
            </w:r>
            <w:r w:rsidR="00E1318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E51194" w:rsidRPr="00E51194" w:rsidRDefault="00E51194" w:rsidP="00E51194">
            <w:pPr>
              <w:pStyle w:val="ListParagraph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օրենքներով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դրանցից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նորմատիվ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պլանավորման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 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զորահավաքի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զորահավաքային ոլորտին վերապահված  խնդիրների և գործառույթների իրականացման առնչությամբ կազմակերպել քննարկումներ, հրավիրել խորհրդակցություններ,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 մասնակից դարձնելով համապատասխան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փորձագետների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աշխատանքների արդյունքներից ելնելով՝ 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պետին ներկայացնել նախագիծ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>ներկայացնել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առաջարկություններ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>ի 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համաձայնությամբ</w:t>
            </w:r>
            <w:r w:rsidR="009940A4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524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զորահավաքային հարցերով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 միջգերատեսչական կամ փոխգործակցային մակարդակում՝ որպես մարմնի ներկայացուցիչ</w:t>
            </w:r>
            <w:r w:rsidR="00E51194">
              <w:rPr>
                <w:rFonts w:ascii="GHEA Grapalat" w:hAnsi="GHEA Grapalat" w:cs="Sylfaen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խաղաղ և ռազմական դրության ժամանակ վերահսկել </w:t>
            </w:r>
            <w:r w:rsidR="00E511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կառուցվածքային</w:t>
            </w:r>
            <w:r w:rsidR="00F14B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տարածքային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 զորահավաքային նախապատրաստության, քաղաքացիական պաշտպանության՝ զորահավաքային պատվերների կատարման պայմանագրերով նախատեսված զորահավաքային միջոցառումների կատարման աշխատանքները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․ </w:t>
            </w:r>
          </w:p>
          <w:p w:rsidR="00213ED7" w:rsidRPr="00213ED7" w:rsidRDefault="0003008E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Բաժնի առջև դրված գործառույթների և խնդիրների իրականացման հետ կապված անհրաժեշտ տեղեկատվություն, փաստաթղթեր և նյութեր</w:t>
            </w:r>
            <w:r w:rsidRPr="00213ED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213ED7" w:rsidRDefault="0003008E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Բաժնի առջև դրված խնդիրների և գործառույթների իրականացման հետ կապված խորհրդակցություններին,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մասնագիտական կարծիքներ և առաջարկություններ</w:t>
            </w:r>
            <w:r w:rsidR="00E1318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C5CD9" w:rsidRPr="00D87B7E" w:rsidRDefault="00D87B7E" w:rsidP="00D87B7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2451FC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</w:t>
            </w:r>
            <w:r w:rsidR="007C5CD9" w:rsidRPr="00D87B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հաշվառել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պահեստազորային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աշխատակիցներին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ամրագրել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զինվորական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հաշվառման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ենթակա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պահեստազորայիններին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մշակել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F6A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փաստաթղթերը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մշակել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ծրագրերը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պլանները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թվում՝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ռազմական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դրության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ռեժիմի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C90877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մասնակցել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շրջանակներում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կազմակերպվող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ուսումնավարժական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հավաքների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պարապմունքների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C90877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փոխադրել </w:t>
            </w:r>
            <w:r w:rsidR="003F6A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գործունեությունը պատերազմական ժամանակաշրջանի աշխատանքային ռեժիմի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5A55CC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պլանավորել իրենց ոլորտներում քաղաքացիական պաշտպանության միջոցառումները և հետևել դրանց իրականացմանը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5A55CC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 քաղաքացիների զինվորական հաշվառման, պահեստազորային պատրաստության միջոցառումների իրականացման գործընթացին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90877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C9087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90877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շրջանակներում և զորահավաքի ժամանակ օժանդակել զինվորական կոմիսարիատներին զորահավաքային խնդիրների լուծման աշխատանքներին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ծանուցել զորահավաքի ժամանակ զորահավաքային զորակոչի ենթակա քաղաքացիներին, առաքել տրանսպորտային միջոցները հավաքակայան կամ զորամասեր, զորահավաքային պլանների համաձայն՝ տրամադրել շենքեր, կառույցներ և հողամասեր, հաղոևդակցության, տրանսպորտային և այլ նյութական միջոցներ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Default="003F6AA1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="00B6259C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զորահավաքային </w:t>
            </w:r>
            <w:r w:rsidR="00212353">
              <w:rPr>
                <w:rFonts w:ascii="GHEA Grapalat" w:hAnsi="GHEA Grapalat"/>
                <w:sz w:val="24"/>
                <w:szCs w:val="24"/>
              </w:rPr>
              <w:t>համակարգերի տեղեկատվական անվտանգության աշխատանքները</w:t>
            </w:r>
            <w:r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B036DE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</w:pPr>
            <w:r w:rsidRPr="00B036DE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համագործակցել զորահավաքային նախապատրաստության բնագավառում այլ պետական մարմինների հետ</w:t>
            </w:r>
            <w:r w:rsidR="003F6AA1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․</w:t>
            </w:r>
          </w:p>
          <w:p w:rsidR="00212353" w:rsidRPr="00212353" w:rsidRDefault="00212353" w:rsidP="003F6AA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</w:pPr>
            <w:r w:rsidRPr="005D7A95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>կազմել</w:t>
            </w:r>
            <w:r w:rsidRPr="005D7A95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 xml:space="preserve"> զորահավաքային նախապատրաստության միջոցառումների կատարման վերաբերյալ հաշվետվություններ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</w:t>
            </w:r>
            <w:r w:rsidRPr="0085692A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5692A" w:rsidRPr="0085692A">
              <w:rPr>
                <w:rFonts w:ascii="GHEA Grapalat" w:eastAsia="MS Mincho" w:hAnsi="GHEA Grapalat" w:cs="Courier New"/>
                <w:sz w:val="24"/>
                <w:szCs w:val="24"/>
                <w:lang w:val="hy-AM"/>
              </w:rPr>
              <w:t>։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692A" w:rsidRPr="00A87943" w:rsidRDefault="00175027" w:rsidP="0085692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A223FA">
              <w:rPr>
                <w:rFonts w:ascii="GHEA Grapalat" w:hAnsi="GHEA Grapalat"/>
                <w:lang w:val="hy-AM"/>
              </w:rPr>
              <w:t xml:space="preserve">կամ զորահավաքային նախապատրաստության և զորահավաքի կազմակերպման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85692A"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="0085692A" w:rsidRPr="00A223FA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85692A"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85692A" w:rsidRPr="00A223FA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85692A" w:rsidRDefault="0085692A" w:rsidP="0085692A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5692A" w:rsidRPr="00A87943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5692A" w:rsidRDefault="0085692A" w:rsidP="0085692A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85692A" w:rsidRDefault="0085692A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Default="0085692A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92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  <w:p w:rsidR="00A717F2" w:rsidRDefault="00A717F2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:rsidR="00A717F2" w:rsidRPr="0085692A" w:rsidRDefault="00A717F2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</w:tc>
      </w:tr>
      <w:tr w:rsidR="003C5E15" w:rsidRPr="006278D2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92A" w:rsidRPr="003C5E15" w:rsidRDefault="0085692A" w:rsidP="0085692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5692A" w:rsidRPr="00A87943" w:rsidRDefault="0085692A" w:rsidP="0085692A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85692A" w:rsidRPr="00A87943" w:rsidRDefault="0085692A" w:rsidP="0085692A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4.4. Շփումները և ներկայացուցչությունը</w:t>
            </w:r>
          </w:p>
          <w:p w:rsidR="0085692A" w:rsidRPr="0032332A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65743B" w:rsidRDefault="003C5E15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2FE"/>
    <w:multiLevelType w:val="hybridMultilevel"/>
    <w:tmpl w:val="11D44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488A"/>
    <w:multiLevelType w:val="hybridMultilevel"/>
    <w:tmpl w:val="4EB6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53DA"/>
    <w:multiLevelType w:val="hybridMultilevel"/>
    <w:tmpl w:val="3F5A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CFD"/>
    <w:multiLevelType w:val="hybridMultilevel"/>
    <w:tmpl w:val="D0DE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32F7"/>
    <w:multiLevelType w:val="hybridMultilevel"/>
    <w:tmpl w:val="26DAF004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1286B"/>
    <w:multiLevelType w:val="hybridMultilevel"/>
    <w:tmpl w:val="9D5EA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8"/>
  </w:num>
  <w:num w:numId="2">
    <w:abstractNumId w:val="23"/>
  </w:num>
  <w:num w:numId="3">
    <w:abstractNumId w:val="31"/>
  </w:num>
  <w:num w:numId="4">
    <w:abstractNumId w:val="26"/>
  </w:num>
  <w:num w:numId="5">
    <w:abstractNumId w:val="12"/>
  </w:num>
  <w:num w:numId="6">
    <w:abstractNumId w:val="21"/>
  </w:num>
  <w:num w:numId="7">
    <w:abstractNumId w:val="48"/>
  </w:num>
  <w:num w:numId="8">
    <w:abstractNumId w:val="24"/>
  </w:num>
  <w:num w:numId="9">
    <w:abstractNumId w:val="16"/>
  </w:num>
  <w:num w:numId="10">
    <w:abstractNumId w:val="11"/>
  </w:num>
  <w:num w:numId="11">
    <w:abstractNumId w:val="9"/>
  </w:num>
  <w:num w:numId="12">
    <w:abstractNumId w:val="27"/>
  </w:num>
  <w:num w:numId="13">
    <w:abstractNumId w:val="19"/>
  </w:num>
  <w:num w:numId="14">
    <w:abstractNumId w:val="42"/>
  </w:num>
  <w:num w:numId="15">
    <w:abstractNumId w:val="44"/>
  </w:num>
  <w:num w:numId="16">
    <w:abstractNumId w:val="32"/>
  </w:num>
  <w:num w:numId="17">
    <w:abstractNumId w:val="43"/>
  </w:num>
  <w:num w:numId="18">
    <w:abstractNumId w:val="25"/>
  </w:num>
  <w:num w:numId="19">
    <w:abstractNumId w:val="0"/>
  </w:num>
  <w:num w:numId="20">
    <w:abstractNumId w:val="37"/>
  </w:num>
  <w:num w:numId="21">
    <w:abstractNumId w:val="15"/>
  </w:num>
  <w:num w:numId="22">
    <w:abstractNumId w:val="46"/>
  </w:num>
  <w:num w:numId="23">
    <w:abstractNumId w:val="20"/>
  </w:num>
  <w:num w:numId="24">
    <w:abstractNumId w:val="36"/>
  </w:num>
  <w:num w:numId="25">
    <w:abstractNumId w:val="34"/>
  </w:num>
  <w:num w:numId="26">
    <w:abstractNumId w:val="30"/>
  </w:num>
  <w:num w:numId="27">
    <w:abstractNumId w:val="45"/>
  </w:num>
  <w:num w:numId="28">
    <w:abstractNumId w:val="47"/>
  </w:num>
  <w:num w:numId="29">
    <w:abstractNumId w:val="39"/>
  </w:num>
  <w:num w:numId="30">
    <w:abstractNumId w:val="2"/>
  </w:num>
  <w:num w:numId="31">
    <w:abstractNumId w:val="40"/>
  </w:num>
  <w:num w:numId="32">
    <w:abstractNumId w:val="1"/>
  </w:num>
  <w:num w:numId="33">
    <w:abstractNumId w:val="28"/>
  </w:num>
  <w:num w:numId="34">
    <w:abstractNumId w:val="29"/>
  </w:num>
  <w:num w:numId="35">
    <w:abstractNumId w:val="17"/>
  </w:num>
  <w:num w:numId="36">
    <w:abstractNumId w:val="5"/>
  </w:num>
  <w:num w:numId="37">
    <w:abstractNumId w:val="10"/>
  </w:num>
  <w:num w:numId="38">
    <w:abstractNumId w:val="35"/>
  </w:num>
  <w:num w:numId="39">
    <w:abstractNumId w:val="18"/>
  </w:num>
  <w:num w:numId="40">
    <w:abstractNumId w:val="22"/>
  </w:num>
  <w:num w:numId="41">
    <w:abstractNumId w:val="41"/>
  </w:num>
  <w:num w:numId="42">
    <w:abstractNumId w:val="13"/>
  </w:num>
  <w:num w:numId="43">
    <w:abstractNumId w:val="6"/>
  </w:num>
  <w:num w:numId="44">
    <w:abstractNumId w:val="8"/>
  </w:num>
  <w:num w:numId="45">
    <w:abstractNumId w:val="7"/>
  </w:num>
  <w:num w:numId="46">
    <w:abstractNumId w:val="4"/>
  </w:num>
  <w:num w:numId="47">
    <w:abstractNumId w:val="14"/>
  </w:num>
  <w:num w:numId="48">
    <w:abstractNumId w:val="3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13D3"/>
    <w:rsid w:val="0003008E"/>
    <w:rsid w:val="000352C8"/>
    <w:rsid w:val="00041F05"/>
    <w:rsid w:val="0004372D"/>
    <w:rsid w:val="00084C9F"/>
    <w:rsid w:val="000B1548"/>
    <w:rsid w:val="000D109F"/>
    <w:rsid w:val="000D392B"/>
    <w:rsid w:val="000D3A13"/>
    <w:rsid w:val="0010100C"/>
    <w:rsid w:val="001041E9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2F31"/>
    <w:rsid w:val="001D3FF1"/>
    <w:rsid w:val="001E08A9"/>
    <w:rsid w:val="001F5027"/>
    <w:rsid w:val="00212353"/>
    <w:rsid w:val="00213ED7"/>
    <w:rsid w:val="002223A6"/>
    <w:rsid w:val="0022760E"/>
    <w:rsid w:val="002426D4"/>
    <w:rsid w:val="002451FC"/>
    <w:rsid w:val="00251AF0"/>
    <w:rsid w:val="002625FD"/>
    <w:rsid w:val="002755E7"/>
    <w:rsid w:val="00287003"/>
    <w:rsid w:val="0029553E"/>
    <w:rsid w:val="002971E9"/>
    <w:rsid w:val="002A7BE2"/>
    <w:rsid w:val="002C08C1"/>
    <w:rsid w:val="002C2434"/>
    <w:rsid w:val="002E24BA"/>
    <w:rsid w:val="002E2AF9"/>
    <w:rsid w:val="002E58D0"/>
    <w:rsid w:val="00317CA3"/>
    <w:rsid w:val="00334754"/>
    <w:rsid w:val="00343519"/>
    <w:rsid w:val="00363AC8"/>
    <w:rsid w:val="00365229"/>
    <w:rsid w:val="003914A3"/>
    <w:rsid w:val="0039675C"/>
    <w:rsid w:val="003C5021"/>
    <w:rsid w:val="003C5E15"/>
    <w:rsid w:val="003D1668"/>
    <w:rsid w:val="003E5E70"/>
    <w:rsid w:val="003F6AA1"/>
    <w:rsid w:val="00405B9D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D5249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1BF3"/>
    <w:rsid w:val="00582658"/>
    <w:rsid w:val="005A287D"/>
    <w:rsid w:val="005B4473"/>
    <w:rsid w:val="005C3C22"/>
    <w:rsid w:val="005D5DF1"/>
    <w:rsid w:val="005E5F95"/>
    <w:rsid w:val="005E646E"/>
    <w:rsid w:val="00624A4D"/>
    <w:rsid w:val="006278D2"/>
    <w:rsid w:val="0063179B"/>
    <w:rsid w:val="00635347"/>
    <w:rsid w:val="0065743B"/>
    <w:rsid w:val="006825BB"/>
    <w:rsid w:val="00683747"/>
    <w:rsid w:val="0068651B"/>
    <w:rsid w:val="006A3D92"/>
    <w:rsid w:val="006A3E25"/>
    <w:rsid w:val="006A54A3"/>
    <w:rsid w:val="006B1D27"/>
    <w:rsid w:val="006C238C"/>
    <w:rsid w:val="006D24AD"/>
    <w:rsid w:val="007067CB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7F3F8D"/>
    <w:rsid w:val="00802C83"/>
    <w:rsid w:val="00805CF8"/>
    <w:rsid w:val="00813E5B"/>
    <w:rsid w:val="008176B6"/>
    <w:rsid w:val="00822C26"/>
    <w:rsid w:val="00833B8B"/>
    <w:rsid w:val="00835CBB"/>
    <w:rsid w:val="00855F7E"/>
    <w:rsid w:val="0085692A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36CC7"/>
    <w:rsid w:val="009425A1"/>
    <w:rsid w:val="00991B92"/>
    <w:rsid w:val="009940A4"/>
    <w:rsid w:val="009946F8"/>
    <w:rsid w:val="009A0475"/>
    <w:rsid w:val="009A6B78"/>
    <w:rsid w:val="009B7AA7"/>
    <w:rsid w:val="009C14E8"/>
    <w:rsid w:val="009D0775"/>
    <w:rsid w:val="009E6588"/>
    <w:rsid w:val="009F038F"/>
    <w:rsid w:val="00A00EEA"/>
    <w:rsid w:val="00A05213"/>
    <w:rsid w:val="00A223FA"/>
    <w:rsid w:val="00A30269"/>
    <w:rsid w:val="00A36C07"/>
    <w:rsid w:val="00A47B7E"/>
    <w:rsid w:val="00A55AAD"/>
    <w:rsid w:val="00A57FFA"/>
    <w:rsid w:val="00A717F2"/>
    <w:rsid w:val="00AA4C3B"/>
    <w:rsid w:val="00AA7C5F"/>
    <w:rsid w:val="00AD6CC0"/>
    <w:rsid w:val="00AE2B84"/>
    <w:rsid w:val="00AF48D5"/>
    <w:rsid w:val="00B060EC"/>
    <w:rsid w:val="00B47F5E"/>
    <w:rsid w:val="00B6259C"/>
    <w:rsid w:val="00B65459"/>
    <w:rsid w:val="00B674BF"/>
    <w:rsid w:val="00B80E3D"/>
    <w:rsid w:val="00BA03E2"/>
    <w:rsid w:val="00BA0B0C"/>
    <w:rsid w:val="00BB32A9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187F"/>
    <w:rsid w:val="00D160D0"/>
    <w:rsid w:val="00D17BF4"/>
    <w:rsid w:val="00D32325"/>
    <w:rsid w:val="00D4390F"/>
    <w:rsid w:val="00D45F52"/>
    <w:rsid w:val="00D50ABC"/>
    <w:rsid w:val="00D70342"/>
    <w:rsid w:val="00D75032"/>
    <w:rsid w:val="00D81FFC"/>
    <w:rsid w:val="00D840C5"/>
    <w:rsid w:val="00D84735"/>
    <w:rsid w:val="00D86AA7"/>
    <w:rsid w:val="00D87B7E"/>
    <w:rsid w:val="00DC29D8"/>
    <w:rsid w:val="00DC5D33"/>
    <w:rsid w:val="00DC61DC"/>
    <w:rsid w:val="00DD6EF0"/>
    <w:rsid w:val="00DD708D"/>
    <w:rsid w:val="00DE5D26"/>
    <w:rsid w:val="00E1318E"/>
    <w:rsid w:val="00E2272E"/>
    <w:rsid w:val="00E23E3E"/>
    <w:rsid w:val="00E27888"/>
    <w:rsid w:val="00E310F5"/>
    <w:rsid w:val="00E33F76"/>
    <w:rsid w:val="00E41476"/>
    <w:rsid w:val="00E46A55"/>
    <w:rsid w:val="00E51194"/>
    <w:rsid w:val="00E5343C"/>
    <w:rsid w:val="00E61581"/>
    <w:rsid w:val="00E64B41"/>
    <w:rsid w:val="00E71175"/>
    <w:rsid w:val="00E72386"/>
    <w:rsid w:val="00E72A2B"/>
    <w:rsid w:val="00E927DC"/>
    <w:rsid w:val="00EB1FB1"/>
    <w:rsid w:val="00ED6921"/>
    <w:rsid w:val="00F04379"/>
    <w:rsid w:val="00F10347"/>
    <w:rsid w:val="00F14BAE"/>
    <w:rsid w:val="00F153B7"/>
    <w:rsid w:val="00F17C8F"/>
    <w:rsid w:val="00F20B4F"/>
    <w:rsid w:val="00F23EF5"/>
    <w:rsid w:val="00F467ED"/>
    <w:rsid w:val="00F54D85"/>
    <w:rsid w:val="00F55B09"/>
    <w:rsid w:val="00F6352B"/>
    <w:rsid w:val="00F91D8D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707BC-A30D-4903-96B0-A156AA0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73A4-2FAD-404A-975E-48D80F96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104</cp:revision>
  <cp:lastPrinted>2019-03-13T08:19:00Z</cp:lastPrinted>
  <dcterms:created xsi:type="dcterms:W3CDTF">2020-01-12T14:58:00Z</dcterms:created>
  <dcterms:modified xsi:type="dcterms:W3CDTF">2022-03-02T10:19:00Z</dcterms:modified>
</cp:coreProperties>
</file>