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677380" w:rsidRDefault="00275858" w:rsidP="00677380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67738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67738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113677">
        <w:rPr>
          <w:rFonts w:ascii="GHEA Grapalat" w:eastAsia="Times New Roman" w:hAnsi="GHEA Grapalat" w:cs="Sylfaen"/>
          <w:sz w:val="16"/>
          <w:szCs w:val="16"/>
          <w:lang w:val="hy-AM"/>
        </w:rPr>
        <w:t>48</w:t>
      </w:r>
      <w:r w:rsidRPr="0067738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677380" w:rsidRDefault="00275858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7738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7738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677380" w:rsidRDefault="00275858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7738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7738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67738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7738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677380" w:rsidRDefault="00275858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7738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7738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7738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7738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113677" w:rsidP="00677380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A767C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A767C0" w:rsidRPr="00677380" w:rsidRDefault="00A767C0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77380" w:rsidRDefault="00113C7C" w:rsidP="00677380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773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677380" w:rsidRDefault="00246450" w:rsidP="00677380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677380" w:rsidRDefault="00C61C6B" w:rsidP="00677380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773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6773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F54D85" w:rsidRPr="006773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ՊԵՏ </w:t>
      </w:r>
    </w:p>
    <w:p w:rsidR="00113C7C" w:rsidRPr="00677380" w:rsidRDefault="00113C7C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77380" w:rsidRDefault="00113C7C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67738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77380" w:rsidRDefault="003C5E15" w:rsidP="0067738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67738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D02EA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677380" w:rsidRDefault="003C5E15" w:rsidP="00677380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67738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246450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C7304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F54D85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F54D85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67738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677380">
              <w:rPr>
                <w:rFonts w:ascii="GHEA Grapalat" w:hAnsi="GHEA Grapalat"/>
                <w:sz w:val="24"/>
                <w:szCs w:val="24"/>
              </w:rPr>
              <w:t>70-</w:t>
            </w:r>
            <w:r w:rsidR="0002488C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677380">
              <w:rPr>
                <w:rFonts w:ascii="GHEA Grapalat" w:hAnsi="GHEA Grapalat"/>
                <w:sz w:val="24"/>
                <w:szCs w:val="24"/>
              </w:rPr>
              <w:t>-Ղ</w:t>
            </w:r>
            <w:r w:rsidR="000144A7">
              <w:rPr>
                <w:rFonts w:ascii="GHEA Grapalat" w:hAnsi="GHEA Grapalat"/>
                <w:sz w:val="24"/>
                <w:szCs w:val="24"/>
              </w:rPr>
              <w:t>4</w:t>
            </w:r>
            <w:r w:rsidR="0013105C" w:rsidRPr="00677380">
              <w:rPr>
                <w:rFonts w:ascii="GHEA Grapalat" w:hAnsi="GHEA Grapalat"/>
                <w:sz w:val="24"/>
                <w:szCs w:val="24"/>
              </w:rPr>
              <w:t>-</w:t>
            </w:r>
            <w:r w:rsidR="00BD78B2" w:rsidRPr="0067738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677380">
              <w:rPr>
                <w:rFonts w:ascii="GHEA Grapalat" w:hAnsi="GHEA Grapalat"/>
                <w:sz w:val="24"/>
                <w:szCs w:val="24"/>
              </w:rPr>
              <w:t>)</w:t>
            </w:r>
            <w:r w:rsidRPr="0067738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677380" w:rsidRDefault="00F54D85" w:rsidP="00677380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ED6921"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246450"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</w:t>
            </w:r>
            <w:r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67738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6773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6773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6773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CF0DF9" w:rsidRPr="00677380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Pr="00677380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677380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67738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677380" w:rsidRDefault="003C5E15" w:rsidP="00677380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67738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CF0DF9" w:rsidRPr="00677380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2005E5" w:rsidRPr="002005E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67738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DF26D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02488C" w:rsidRPr="0002488C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67738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BF6FA0" w:rsidRDefault="003C5E15" w:rsidP="00BF6FA0">
            <w:pPr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F729A" w:rsidRPr="000144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677380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677380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BF6FA0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4D02EA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77380" w:rsidRDefault="003C5E15" w:rsidP="00677380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77380" w:rsidRDefault="007C5CD9" w:rsidP="00677380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77380" w:rsidRDefault="007C5CD9" w:rsidP="00677380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773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773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77380" w:rsidRDefault="0000101D" w:rsidP="00677380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D1E04" w:rsidRPr="00677380" w:rsidRDefault="00CD1E04" w:rsidP="00CD1E04">
            <w:pPr>
              <w:pStyle w:val="ListParagraph"/>
              <w:numPr>
                <w:ilvl w:val="0"/>
                <w:numId w:val="28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Տեսչական մարմնի կողմից վարվող էլեկտրոնային տեղեկատվական բազաների վարման աշխատանքներին </w:t>
            </w:r>
            <w:r w:rsidRPr="002E1D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</w:t>
            </w:r>
            <w:r w:rsidRPr="002E1DF6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176B49" w:rsidRPr="00677380" w:rsidRDefault="00176B49" w:rsidP="00176B49">
            <w:pPr>
              <w:pStyle w:val="ListParagraph"/>
              <w:numPr>
                <w:ilvl w:val="0"/>
                <w:numId w:val="28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ստորաբաժանման աշխատողների կողմից կատարված աշխատանքների կատարողական չափանիշների, ցուցանիշների հիման վրա կազմում է Բաժնի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աշխատանքային ծրագրերը և ապահովում դրանց կատարումը.</w:t>
            </w:r>
          </w:p>
          <w:p w:rsidR="00B87B0A" w:rsidRPr="00677380" w:rsidRDefault="008078B0" w:rsidP="000F5400">
            <w:pPr>
              <w:pStyle w:val="ListParagraph"/>
              <w:numPr>
                <w:ilvl w:val="0"/>
                <w:numId w:val="28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ազմակերպում է </w:t>
            </w:r>
            <w:r w:rsidR="00D172B6" w:rsidRPr="00D172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</w:t>
            </w:r>
            <w:r w:rsidR="00E640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արտահանման, վերամշակման, արտադրության գործընթացներում 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ապրանքային խմբաքանակից նմուշների ընտրության, նմուշառման աշխատանքները</w:t>
            </w:r>
            <w:r w:rsidR="00B87B0A" w:rsidRPr="0067738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87B0A" w:rsidRPr="00677380" w:rsidRDefault="008078B0" w:rsidP="000F5400">
            <w:pPr>
              <w:pStyle w:val="ListParagraph"/>
              <w:numPr>
                <w:ilvl w:val="0"/>
                <w:numId w:val="28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ազմակերպում է </w:t>
            </w:r>
            <w:r w:rsidR="00D172B6" w:rsidRPr="00D172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E64040" w:rsidRPr="00E640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 փորձարկման (փորձաքննության) համար նմուշները փոփոխությունից պաշտպանող նյութերից պատրաստված համապատասխան տարաներով փաթեթավորման, նմուշների ծածկագրման, դրոշմակնքման կամ կապարակնքման աշխատանքները</w:t>
            </w:r>
            <w:r w:rsidR="00B87B0A" w:rsidRPr="0067738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87B0A"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E6404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677380" w:rsidRDefault="008B5FFA" w:rsidP="000F5400">
            <w:pPr>
              <w:pStyle w:val="ListParagraph"/>
              <w:numPr>
                <w:ilvl w:val="0"/>
                <w:numId w:val="28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փորձանմուշների լաբորատորիաներ տեղափոխելու ժամանակացույցի և օպտիմալ երթուղու </w:t>
            </w:r>
            <w:r w:rsidR="003D15CD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B5FFA" w:rsidRPr="00677380" w:rsidRDefault="008078B0" w:rsidP="000F5400">
            <w:pPr>
              <w:pStyle w:val="ListParagraph"/>
              <w:numPr>
                <w:ilvl w:val="0"/>
                <w:numId w:val="28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3D15CD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ազմակերպում</w:t>
            </w:r>
            <w:r w:rsidR="00155339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8B5FF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էլեկտրոնային բազա</w:t>
            </w:r>
            <w:r w:rsidR="003D15CD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տվյալների մուտքագրման աշխատանքների իրականացումը</w:t>
            </w:r>
            <w:r w:rsidR="008B5FF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B5FFA" w:rsidRPr="00A767C0" w:rsidRDefault="008B5FFA" w:rsidP="00677380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677380" w:rsidRDefault="007C5CD9" w:rsidP="0067738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67738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67738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677380" w:rsidRDefault="00DC5D33" w:rsidP="00677380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B3877" w:rsidRPr="00677380" w:rsidRDefault="007B387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</w:t>
            </w:r>
            <w:r w:rsidR="00024B37"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24B37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համապատասխան մարմիններից </w:t>
            </w:r>
            <w:r w:rsidR="00024B37" w:rsidRPr="00024B37">
              <w:rPr>
                <w:rFonts w:ascii="GHEA Grapalat" w:hAnsi="GHEA Grapalat" w:cs="Courier New"/>
                <w:sz w:val="24"/>
                <w:szCs w:val="24"/>
                <w:lang w:val="hy-AM"/>
              </w:rPr>
              <w:t>ստանալ</w:t>
            </w:r>
            <w:r w:rsidR="00024B37" w:rsidRPr="00024B37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5BE6" w:rsidRPr="00024B37" w:rsidRDefault="00B34D8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վերահսկվող տնտեսվարող սուբյեկտներից </w:t>
            </w:r>
            <w:r w:rsidR="00024B37"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D05BE6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ուսումնասիրությունների իրականացման համար անհրաժեշտ տեղեկատվություն և նյութեր</w:t>
            </w:r>
            <w:r w:rsidR="00D05BE6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24B37" w:rsidRPr="00CE61CA" w:rsidRDefault="00024B3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հավատարմագրված լաբորատորիայից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նմուշների փորձարկման (փորձաքննության) արդյունքների հիման վրա կազմվող փորձարկման արձանագրությունը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24B37" w:rsidRPr="00CE356E" w:rsidRDefault="00024B3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կամ այլ նյութերի (ներառյալ` միջավայրի),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անասնաբուժական և բուսասանիտարական հսկման ենթակա ապրանքների՝ օրենսդրությամբ սահմանված պահանջների (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անվտանգությանը, մակնշմանը, փաթեթավորմանը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որակին ներկայացվող պահանջներին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 համապատասխանությունը ստուգելու նպատակով տնտեսվարող սուբյեկտից պահանջել նմուշառման իրականացման համար անհրաժեշտ փորձանմուշներ.</w:t>
            </w:r>
          </w:p>
          <w:p w:rsidR="00024B37" w:rsidRPr="00024B37" w:rsidRDefault="00024B3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տնտեսվարող սուբյեկտներից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անվտանգությունը հիմնավորող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արձանագրություններ)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05BE6" w:rsidRPr="00677380" w:rsidRDefault="00B34D8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բեռի համար պատասխանատվություն կրող անձանց ներկայացնել </w:t>
            </w:r>
            <w:r w:rsidR="00D05BE6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 և հետազոտությունների իրականացման համար անհրաժեշտ և անվտանգ պայմաններ ապահովելու պահանջներ</w:t>
            </w:r>
            <w:r w:rsidR="008B1A7E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B3877" w:rsidRPr="00677380" w:rsidRDefault="00024B3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իրականացման ընթացքում լրացուցիչ հարցերի պարզաբանման նպատակով </w:t>
            </w:r>
            <w:r w:rsidR="007B3877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 ղեկավարին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="00B34D87"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="00B34D87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7B3877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աշխատանքներին մասնագետներ, փորձագետներ, գիտական հաստատությունների ներկայացուցիչներ ներգրավելու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Բաժնի գործառույթներին առնչվող առանձին հարցերի պարզաբանման նպատակով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խմբեր կազմավորելու </w:t>
            </w:r>
            <w:r w:rsidR="007B3877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7B3877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B3877" w:rsidRPr="00677380" w:rsidRDefault="007B387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խնդիրների և գործառույթների իրականացման հետ կապված</w:t>
            </w:r>
            <w:r w:rsidR="00B34D87"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հրավիրել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B34D87"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B34D87"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 w:rsid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</w:t>
            </w:r>
            <w:r w:rsid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աջարկություններ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677380" w:rsidRDefault="00775518" w:rsidP="0067738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677380" w:rsidRDefault="007C5CD9" w:rsidP="0067738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67738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67738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  <w:r w:rsidR="00BB7B4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7C5CD9" w:rsidRPr="00677380" w:rsidRDefault="007C5CD9" w:rsidP="00677380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B1A7E" w:rsidRPr="00677380" w:rsidRDefault="008B1A7E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Տեսչական մարմնի կողմից </w:t>
            </w:r>
            <w:r w:rsidR="00D91D9C" w:rsidRPr="006773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պետական վերահսկողության շրջանակներում իրա</w:t>
            </w:r>
            <w:r w:rsidR="00D91D9C"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կանացված փորձաքնությունների</w:t>
            </w:r>
            <w:r w:rsidRPr="006773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արդյունքում</w:t>
            </w:r>
            <w:r w:rsidRPr="006773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հայտնաբերված</w:t>
            </w:r>
            <w:r w:rsidRPr="006773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75A24"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անհամապատասխանությունների վերացման վերաբերյալ Տեսչական մարմնի ղեկավարին </w:t>
            </w:r>
            <w:r w:rsidR="00B34D8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ներկայացն</w:t>
            </w:r>
            <w:proofErr w:type="spellStart"/>
            <w:r w:rsidR="00B34D87">
              <w:rPr>
                <w:rFonts w:ascii="GHEA Grapalat" w:hAnsi="GHEA Grapalat" w:cs="Sylfaen"/>
                <w:bCs/>
                <w:sz w:val="24"/>
                <w:szCs w:val="24"/>
              </w:rPr>
              <w:t>ել</w:t>
            </w:r>
            <w:proofErr w:type="spellEnd"/>
            <w:r w:rsidR="00A75A24"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առաջարկություններ, խնդիրների լուծման ուղիներ՝ համապատասխան հիմնավորումներով և անհրաժեշտ փաստաթղթերով</w:t>
            </w:r>
            <w:r w:rsidR="00A75A24" w:rsidRPr="00677380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  <w:r w:rsidR="00D91D9C"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  <w:p w:rsidR="008B1A7E" w:rsidRPr="00024B37" w:rsidRDefault="00D172B6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72B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="008B1A7E" w:rsidRPr="00677380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փորձանմուշներում հայտնաբերված նյութերի քանակությունների և գործող օրենսդրական նորմերի և սահմանափակումների համեմատական </w:t>
            </w:r>
            <w:r w:rsidR="00B34D87" w:rsidRPr="00B34D87">
              <w:rPr>
                <w:rFonts w:ascii="GHEA Grapalat" w:hAnsi="GHEA Grapalat"/>
                <w:sz w:val="24"/>
                <w:szCs w:val="24"/>
                <w:lang w:val="hy-AM"/>
              </w:rPr>
              <w:t>վերլուծություն</w:t>
            </w:r>
            <w:r w:rsidR="008B1A7E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24B37" w:rsidRPr="00024B37" w:rsidRDefault="00024B3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տնտեսվարող սուբյեկտների կողմից ներկայացված սննդամթերքի անվտանգության համապատասխանությունը սահմանված փաստաթղթերին (անասնաբուժասանիտարական հաշվառված ձևաթղթեր (վկայական, տեղեկանք, սերտիֆիկատ), բուսասանիտարական հավաստագիր, առողջության սերտիֆիկատ, որակի և անվտանգության կառավարման համակարգի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24B37" w:rsidRPr="00024B37" w:rsidRDefault="002329D3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29D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կերի և կերային հավելումների փորձարկման (փորձաքննության) իրականացման նպատակով ընտրված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նմուշներ</w:t>
            </w:r>
            <w:r w:rsidRPr="002329D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ի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նմուշառման վերաբերյալ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կազմ</w:t>
            </w:r>
            <w:r w:rsidRPr="002329D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ված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hAnsi="GHEA Grapalat" w:cs="Arial"/>
                <w:sz w:val="24"/>
                <w:szCs w:val="24"/>
                <w:lang w:val="hy-AM"/>
              </w:rPr>
              <w:t>նմուշառման ակտ</w:t>
            </w:r>
            <w:r w:rsidRPr="002329D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նախագ</w:t>
            </w:r>
            <w:r w:rsidRPr="002329D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ծի և 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փորձարկումների ավարտից հետո փորձարկման գործընթացում </w:t>
            </w:r>
            <w:r w:rsidRPr="002329D3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չ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օգտագործված </w:t>
            </w: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նմուշներ</w:t>
            </w:r>
            <w:r w:rsidRPr="002329D3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կամ դրանց </w:t>
            </w: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մնացորդներ</w:t>
            </w:r>
            <w:r w:rsidRPr="002329D3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, ինչպես նաև փորձարկման չենթարկված նմուշներ</w:t>
            </w:r>
            <w:r w:rsidRPr="002329D3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ի վերաբերյալ կազմված </w:t>
            </w:r>
            <w:r w:rsidR="00BB7B47" w:rsidRPr="00BB7B47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նմուշների </w:t>
            </w:r>
            <w:r w:rsidRPr="002329D3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վերադարձման </w:t>
            </w:r>
            <w:r w:rsidR="00BB7B47" w:rsidRPr="00BB7B47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ակտի նախագծի համապատասխանությունը օրենսդրությամբ սահմանված պահանջներին, խախտումների հայտնաբերման դեպքում տալ դրանց վերացմանն ուղղված համապատասխան ցուցումներ և հանձնարարականեր</w:t>
            </w:r>
            <w:r w:rsidR="00D172B6" w:rsidRPr="00D172B6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: Խախտումներ չհայտնաբերելու դեպքում տնտեսվարող սուբյեկտներին տրամադրել նմուշառման ակտ և նմուշների վերադարձման ակտ</w:t>
            </w:r>
            <w:r w:rsidR="00BB7B47" w:rsidRPr="00BB7B47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. </w:t>
            </w:r>
          </w:p>
          <w:p w:rsidR="00A75A24" w:rsidRPr="00677380" w:rsidRDefault="00A75A24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փորձանմուշներում հայտնաբերված նյութերի՝</w:t>
            </w:r>
            <w:r w:rsidR="00B34D87" w:rsidRPr="00B34D8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Եվրասիական տնտեսական միության տեխնիկական կանոնակարգերով սահմանված չափանիշների հետ համեմատության արդյունքները </w:t>
            </w:r>
            <w:r w:rsidR="00B34D8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</w:t>
            </w:r>
            <w:r w:rsidR="00B34D87" w:rsidRPr="00B34D8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A40260"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համապատասխան կառուցվածքային ստորաբաժանումներին, Եվրասիական տնտեսական միության անդամ </w:t>
            </w:r>
            <w:r w:rsidR="00024B3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երկր</w:t>
            </w:r>
            <w:r w:rsidR="00A40260"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ների լիազոր մարմիններին, ծագման երկրի լիազոր մարմիններին</w:t>
            </w:r>
            <w:r w:rsidR="00A40260" w:rsidRPr="0067738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172B6" w:rsidRPr="00677380" w:rsidRDefault="00D172B6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 գործունեության ոլորտին, վերջինիս գործառույթներին առնչվող իրավական ակտերի նախագծերի կ</w:t>
            </w:r>
            <w:r w:rsid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զ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</w:t>
            </w:r>
            <w:r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ման, նախագծերի, ծրագրերի մշակման աշխատանքներ</w:t>
            </w:r>
            <w:r w:rsid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նթացք</w:t>
            </w:r>
            <w:r w:rsidR="00712272"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ւմ</w:t>
            </w:r>
            <w:r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ներկայացնել փորձագիտական եզրակացություններ, մասնագիտական կարծիքներ և առաջարկություններ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ինչպ</w:t>
            </w:r>
            <w:r w:rsidR="00712272"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 նաև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B34D87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712272" w:rsidRPr="00D172B6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առաջարկություններ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712272" w:rsidRDefault="00B34D87" w:rsidP="00712272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EB2814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լիազորությունների շրջանակներում առաջարկությունների, հաշվետվությունների, տեղեկանքների, միջնորդագրերի, զեկուցագրերի և այլ 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աշխատանքներին, անհրաժեշտության դեպքում, ցուցաբերել մեթոդական օժանդակություն</w:t>
            </w:r>
            <w:r w:rsidR="00EB2814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</w:tc>
      </w:tr>
      <w:tr w:rsidR="003C5E15" w:rsidRPr="0067738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144A7" w:rsidRDefault="003C5E15" w:rsidP="0067738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  <w:r w:rsidR="00BB7B47" w:rsidRPr="000144A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05149D" w:rsidRPr="00677380" w:rsidRDefault="003C5E15" w:rsidP="00024B3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67738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3B70" w:rsidRPr="004D02EA" w:rsidTr="007348D9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3B70" w:rsidRPr="004D02EA" w:rsidTr="007348D9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3B70" w:rsidRPr="004D02EA" w:rsidTr="007348D9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3B70" w:rsidRPr="004D02EA" w:rsidTr="007348D9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3B70" w:rsidRPr="004D02EA" w:rsidTr="007348D9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3B70" w:rsidRPr="004D02EA" w:rsidTr="007348D9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3B70" w:rsidRPr="004D02EA" w:rsidTr="007348D9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3B70" w:rsidRPr="004D02EA" w:rsidTr="007348D9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Pr="00E86122" w:rsidRDefault="008F3B70" w:rsidP="007348D9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Pr="00EF4982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3B70" w:rsidRPr="00EF4982" w:rsidRDefault="008F3B70" w:rsidP="00BB7B4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lang w:val="hy-AM"/>
              </w:rPr>
            </w:pPr>
          </w:p>
          <w:p w:rsidR="008E696F" w:rsidRPr="00677380" w:rsidRDefault="003C5E15" w:rsidP="00BB7B4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bookmarkStart w:id="0" w:name="_GoBack"/>
            <w:bookmarkEnd w:id="0"/>
            <w:r w:rsidRPr="0067738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677380">
              <w:rPr>
                <w:rFonts w:ascii="GHEA Grapalat" w:hAnsi="GHEA Grapalat"/>
                <w:lang w:val="hy-AM"/>
              </w:rPr>
              <w:br/>
            </w:r>
            <w:r w:rsidRPr="00677380">
              <w:rPr>
                <w:rFonts w:ascii="GHEA Grapalat" w:hAnsi="GHEA Grapalat" w:cs="Sylfaen"/>
                <w:lang w:val="hy-AM"/>
              </w:rPr>
              <w:t>Ունի</w:t>
            </w:r>
            <w:r w:rsidRPr="00677380">
              <w:rPr>
                <w:rFonts w:ascii="GHEA Grapalat" w:hAnsi="GHEA Grapalat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677380">
              <w:rPr>
                <w:rFonts w:ascii="GHEA Grapalat" w:hAnsi="GHEA Grapalat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lang w:val="hy-AM"/>
              </w:rPr>
              <w:t>իրականացման</w:t>
            </w:r>
            <w:r w:rsidRPr="00677380">
              <w:rPr>
                <w:rFonts w:ascii="GHEA Grapalat" w:hAnsi="GHEA Grapalat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lang w:val="hy-AM"/>
              </w:rPr>
              <w:t>համար</w:t>
            </w:r>
            <w:r w:rsidRPr="00677380">
              <w:rPr>
                <w:rFonts w:ascii="GHEA Grapalat" w:hAnsi="GHEA Grapalat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lang w:val="hy-AM"/>
              </w:rPr>
              <w:t>անհրաժեշտ</w:t>
            </w:r>
            <w:r w:rsidRPr="00677380">
              <w:rPr>
                <w:rFonts w:ascii="GHEA Grapalat" w:hAnsi="GHEA Grapalat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lang w:val="hy-AM"/>
              </w:rPr>
              <w:t>գիտելիքներ</w:t>
            </w:r>
            <w:r w:rsidRPr="00677380">
              <w:rPr>
                <w:rFonts w:ascii="GHEA Grapalat" w:hAnsi="GHEA Grapalat"/>
                <w:lang w:val="hy-AM"/>
              </w:rPr>
              <w:br/>
            </w:r>
            <w:r w:rsidRPr="00677380">
              <w:rPr>
                <w:rFonts w:ascii="GHEA Grapalat" w:hAnsi="GHEA Grapalat"/>
                <w:b/>
                <w:lang w:val="hy-AM"/>
              </w:rPr>
              <w:t>3.3.</w:t>
            </w:r>
            <w:r w:rsidRPr="0067738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677380">
              <w:rPr>
                <w:rFonts w:ascii="GHEA Grapalat" w:hAnsi="GHEA Grapalat"/>
                <w:lang w:val="hy-AM"/>
              </w:rPr>
              <w:br/>
            </w:r>
            <w:r w:rsidR="00775518" w:rsidRPr="0067738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5E7E3A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DF26DD" w:rsidRPr="00DF26DD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67738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560F03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712272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712272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712272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712272">
              <w:rPr>
                <w:rFonts w:ascii="GHEA Grapalat" w:hAnsi="GHEA Grapalat" w:cs="Sylfaen"/>
                <w:lang w:val="hy-AM"/>
              </w:rPr>
              <w:t>գյուղատնտես</w:t>
            </w:r>
            <w:r w:rsidR="00712272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712272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712272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12272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712272">
              <w:rPr>
                <w:rFonts w:ascii="GHEA Grapalat" w:hAnsi="GHEA Grapalat" w:cs="Sylfaen"/>
                <w:lang w:val="hy-AM"/>
              </w:rPr>
              <w:t>անցկացման</w:t>
            </w:r>
            <w:r w:rsidR="00712272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67738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F26DD" w:rsidRPr="00DF26DD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677380">
              <w:rPr>
                <w:rFonts w:ascii="GHEA Grapalat" w:hAnsi="GHEA Grapalat" w:cs="Sylfaen"/>
                <w:lang w:val="hy-AM"/>
              </w:rPr>
              <w:t xml:space="preserve">տարվա աշխատանքային </w:t>
            </w:r>
            <w:r w:rsidR="00712272" w:rsidRPr="00712272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677380">
              <w:rPr>
                <w:rFonts w:ascii="GHEA Grapalat" w:hAnsi="GHEA Grapalat" w:cs="Sylfaen"/>
                <w:lang w:val="hy-AM"/>
              </w:rPr>
              <w:t>ստաժ.</w:t>
            </w:r>
            <w:r w:rsidR="00560F03" w:rsidRPr="00560F03">
              <w:rPr>
                <w:rFonts w:ascii="GHEA Grapalat" w:hAnsi="GHEA Grapalat" w:cs="Sylfaen"/>
                <w:lang w:val="hy-AM"/>
              </w:rPr>
              <w:t xml:space="preserve"> </w:t>
            </w:r>
            <w:r w:rsidRPr="0067738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677380" w:rsidRDefault="008E696F" w:rsidP="00677380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67738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67738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7738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677380">
              <w:rPr>
                <w:rFonts w:ascii="GHEA Grapalat" w:hAnsi="GHEA Grapalat" w:cs="Sylfaen"/>
                <w:b/>
              </w:rPr>
              <w:t>՝</w:t>
            </w:r>
          </w:p>
          <w:p w:rsidR="0000101D" w:rsidRPr="00677380" w:rsidRDefault="0000101D" w:rsidP="006773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677380" w:rsidRDefault="0000101D" w:rsidP="006773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677380" w:rsidRDefault="0000101D" w:rsidP="006773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677380" w:rsidRDefault="0000101D" w:rsidP="006773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677380" w:rsidRDefault="0000101D" w:rsidP="006773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BB7B47" w:rsidRDefault="0000101D" w:rsidP="00BB7B47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6773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677380" w:rsidRDefault="008E696F" w:rsidP="00677380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67738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67738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7738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67738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677380" w:rsidRDefault="00531B09" w:rsidP="006773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7738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6773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7738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677380" w:rsidRDefault="00531B09" w:rsidP="006773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77380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6773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7738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677380" w:rsidRDefault="00531B09" w:rsidP="006773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7738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6773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7738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677380" w:rsidRDefault="00531B09" w:rsidP="006773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7738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6773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7738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677380" w:rsidRDefault="00531B09" w:rsidP="006773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77380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6773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77380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677380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677380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024B37" w:rsidRDefault="00531B09" w:rsidP="00024B3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77380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677380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677380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6773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77380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677380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67738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4D02E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77380" w:rsidRDefault="003C5E15" w:rsidP="0067738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005E5" w:rsidRPr="0001064C" w:rsidRDefault="002005E5" w:rsidP="002005E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024B37" w:rsidRPr="00024B37" w:rsidRDefault="002005E5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="00024B37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024B37" w:rsidRDefault="00024B37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005E5" w:rsidRPr="0001064C" w:rsidRDefault="002005E5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024B37" w:rsidRDefault="002005E5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024B37" w:rsidRDefault="00024B37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024B37" w:rsidRDefault="002005E5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0144A7" w:rsidRPr="000144A7" w:rsidRDefault="000144A7" w:rsidP="00BB7B47">
            <w:pPr>
              <w:spacing w:after="0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մակարդակում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0144A7" w:rsidRDefault="000144A7" w:rsidP="00BB7B47">
            <w:pPr>
              <w:spacing w:after="0"/>
              <w:ind w:right="9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2005E5" w:rsidRPr="00BB7B47" w:rsidRDefault="002005E5" w:rsidP="00BB7B4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0144A7" w:rsidRPr="000144A7" w:rsidRDefault="000144A7" w:rsidP="002005E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օտարերկրյա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պետությունների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իրավասությունների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005E5" w:rsidRPr="0001064C" w:rsidRDefault="002005E5" w:rsidP="002005E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0144A7" w:rsidRDefault="000144A7" w:rsidP="000144A7">
            <w:pPr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</w:p>
        </w:tc>
      </w:tr>
    </w:tbl>
    <w:p w:rsidR="001859CD" w:rsidRPr="00024B37" w:rsidRDefault="001859CD" w:rsidP="00677380">
      <w:pPr>
        <w:rPr>
          <w:rFonts w:ascii="GHEA Grapalat" w:hAnsi="GHEA Grapalat"/>
          <w:lang w:val="hy-AM"/>
        </w:rPr>
      </w:pPr>
    </w:p>
    <w:sectPr w:rsidR="001859CD" w:rsidRPr="00024B3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FCD"/>
    <w:multiLevelType w:val="hybridMultilevel"/>
    <w:tmpl w:val="7AE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6620BC"/>
    <w:multiLevelType w:val="hybridMultilevel"/>
    <w:tmpl w:val="125E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31B98"/>
    <w:multiLevelType w:val="hybridMultilevel"/>
    <w:tmpl w:val="A420F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6"/>
  </w:num>
  <w:num w:numId="6">
    <w:abstractNumId w:val="11"/>
  </w:num>
  <w:num w:numId="7">
    <w:abstractNumId w:val="27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7"/>
  </w:num>
  <w:num w:numId="13">
    <w:abstractNumId w:val="10"/>
  </w:num>
  <w:num w:numId="14">
    <w:abstractNumId w:val="22"/>
  </w:num>
  <w:num w:numId="15">
    <w:abstractNumId w:val="25"/>
  </w:num>
  <w:num w:numId="16">
    <w:abstractNumId w:val="19"/>
  </w:num>
  <w:num w:numId="17">
    <w:abstractNumId w:val="23"/>
  </w:num>
  <w:num w:numId="18">
    <w:abstractNumId w:val="14"/>
  </w:num>
  <w:num w:numId="19">
    <w:abstractNumId w:val="0"/>
  </w:num>
  <w:num w:numId="20">
    <w:abstractNumId w:val="9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6"/>
  </w:num>
  <w:num w:numId="26">
    <w:abstractNumId w:val="2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44A7"/>
    <w:rsid w:val="0002488C"/>
    <w:rsid w:val="00024B37"/>
    <w:rsid w:val="000352C8"/>
    <w:rsid w:val="0005149D"/>
    <w:rsid w:val="00084C9F"/>
    <w:rsid w:val="000B345B"/>
    <w:rsid w:val="000D1168"/>
    <w:rsid w:val="000D392B"/>
    <w:rsid w:val="000F5400"/>
    <w:rsid w:val="0010100C"/>
    <w:rsid w:val="00106D1D"/>
    <w:rsid w:val="00107823"/>
    <w:rsid w:val="00113677"/>
    <w:rsid w:val="00113C7C"/>
    <w:rsid w:val="00116E7E"/>
    <w:rsid w:val="00122F8F"/>
    <w:rsid w:val="0013105C"/>
    <w:rsid w:val="00143524"/>
    <w:rsid w:val="00155339"/>
    <w:rsid w:val="00176B49"/>
    <w:rsid w:val="001859CD"/>
    <w:rsid w:val="00185AC9"/>
    <w:rsid w:val="00197CE3"/>
    <w:rsid w:val="001B5EAC"/>
    <w:rsid w:val="001C3CC6"/>
    <w:rsid w:val="001D3FF1"/>
    <w:rsid w:val="001F5027"/>
    <w:rsid w:val="002005E5"/>
    <w:rsid w:val="00231329"/>
    <w:rsid w:val="002329D3"/>
    <w:rsid w:val="00233624"/>
    <w:rsid w:val="00246450"/>
    <w:rsid w:val="00251AF0"/>
    <w:rsid w:val="00275858"/>
    <w:rsid w:val="00281B69"/>
    <w:rsid w:val="002E1DF6"/>
    <w:rsid w:val="002E2AF9"/>
    <w:rsid w:val="0030213C"/>
    <w:rsid w:val="00317CA3"/>
    <w:rsid w:val="0033019C"/>
    <w:rsid w:val="00334754"/>
    <w:rsid w:val="00343519"/>
    <w:rsid w:val="00363AC8"/>
    <w:rsid w:val="00366FF7"/>
    <w:rsid w:val="003B3FA3"/>
    <w:rsid w:val="003C5E15"/>
    <w:rsid w:val="003D15CD"/>
    <w:rsid w:val="003D1668"/>
    <w:rsid w:val="00411E7F"/>
    <w:rsid w:val="004169D8"/>
    <w:rsid w:val="00425257"/>
    <w:rsid w:val="0043050E"/>
    <w:rsid w:val="00430641"/>
    <w:rsid w:val="00445584"/>
    <w:rsid w:val="00465198"/>
    <w:rsid w:val="004973F5"/>
    <w:rsid w:val="0049783D"/>
    <w:rsid w:val="004A2807"/>
    <w:rsid w:val="004D02EA"/>
    <w:rsid w:val="004E48C0"/>
    <w:rsid w:val="004E6FFB"/>
    <w:rsid w:val="004F182B"/>
    <w:rsid w:val="004F729A"/>
    <w:rsid w:val="00504CE0"/>
    <w:rsid w:val="0050679E"/>
    <w:rsid w:val="00507FE9"/>
    <w:rsid w:val="005147CF"/>
    <w:rsid w:val="00531B09"/>
    <w:rsid w:val="00551BA2"/>
    <w:rsid w:val="00554281"/>
    <w:rsid w:val="00560F03"/>
    <w:rsid w:val="0056483E"/>
    <w:rsid w:val="00582658"/>
    <w:rsid w:val="00596B0E"/>
    <w:rsid w:val="005A287D"/>
    <w:rsid w:val="005E0217"/>
    <w:rsid w:val="005E646E"/>
    <w:rsid w:val="005E7E3A"/>
    <w:rsid w:val="00624A4D"/>
    <w:rsid w:val="0064610D"/>
    <w:rsid w:val="00677380"/>
    <w:rsid w:val="00683747"/>
    <w:rsid w:val="0068651B"/>
    <w:rsid w:val="006A3D92"/>
    <w:rsid w:val="006A3E25"/>
    <w:rsid w:val="006A54A3"/>
    <w:rsid w:val="006A6C87"/>
    <w:rsid w:val="006B1D27"/>
    <w:rsid w:val="006C238C"/>
    <w:rsid w:val="006D093F"/>
    <w:rsid w:val="00712272"/>
    <w:rsid w:val="00721E9E"/>
    <w:rsid w:val="00727587"/>
    <w:rsid w:val="00765F8A"/>
    <w:rsid w:val="0077447C"/>
    <w:rsid w:val="00775518"/>
    <w:rsid w:val="00795DE0"/>
    <w:rsid w:val="00796D1E"/>
    <w:rsid w:val="007A14F0"/>
    <w:rsid w:val="007B3877"/>
    <w:rsid w:val="007C5CD9"/>
    <w:rsid w:val="007D607D"/>
    <w:rsid w:val="00802C83"/>
    <w:rsid w:val="008078B0"/>
    <w:rsid w:val="00822C26"/>
    <w:rsid w:val="00835CBB"/>
    <w:rsid w:val="00855F7E"/>
    <w:rsid w:val="00875540"/>
    <w:rsid w:val="008802B3"/>
    <w:rsid w:val="00881772"/>
    <w:rsid w:val="00893785"/>
    <w:rsid w:val="008B1A7E"/>
    <w:rsid w:val="008B5FFA"/>
    <w:rsid w:val="008C4873"/>
    <w:rsid w:val="008C7304"/>
    <w:rsid w:val="008E5ADA"/>
    <w:rsid w:val="008E696F"/>
    <w:rsid w:val="008F398B"/>
    <w:rsid w:val="008F3B70"/>
    <w:rsid w:val="008F5108"/>
    <w:rsid w:val="009248A6"/>
    <w:rsid w:val="0092691F"/>
    <w:rsid w:val="009425A1"/>
    <w:rsid w:val="00991B92"/>
    <w:rsid w:val="009A0475"/>
    <w:rsid w:val="009A6B78"/>
    <w:rsid w:val="009C14E8"/>
    <w:rsid w:val="009D0775"/>
    <w:rsid w:val="00A30269"/>
    <w:rsid w:val="00A40260"/>
    <w:rsid w:val="00A47B7E"/>
    <w:rsid w:val="00A75A24"/>
    <w:rsid w:val="00A767C0"/>
    <w:rsid w:val="00A95042"/>
    <w:rsid w:val="00AA3179"/>
    <w:rsid w:val="00AA4C3B"/>
    <w:rsid w:val="00AB557E"/>
    <w:rsid w:val="00AD6CC0"/>
    <w:rsid w:val="00AE2B84"/>
    <w:rsid w:val="00AF6378"/>
    <w:rsid w:val="00B34D87"/>
    <w:rsid w:val="00B4699E"/>
    <w:rsid w:val="00B674BF"/>
    <w:rsid w:val="00B87B0A"/>
    <w:rsid w:val="00BA03E2"/>
    <w:rsid w:val="00BB7B47"/>
    <w:rsid w:val="00BC2567"/>
    <w:rsid w:val="00BD78B2"/>
    <w:rsid w:val="00BF6FA0"/>
    <w:rsid w:val="00C01297"/>
    <w:rsid w:val="00C10E62"/>
    <w:rsid w:val="00C179D4"/>
    <w:rsid w:val="00C17CCE"/>
    <w:rsid w:val="00C21983"/>
    <w:rsid w:val="00C24A39"/>
    <w:rsid w:val="00C26ACD"/>
    <w:rsid w:val="00C3473A"/>
    <w:rsid w:val="00C45438"/>
    <w:rsid w:val="00C61C6B"/>
    <w:rsid w:val="00C9375E"/>
    <w:rsid w:val="00CB4E34"/>
    <w:rsid w:val="00CC37A1"/>
    <w:rsid w:val="00CD1366"/>
    <w:rsid w:val="00CD1E04"/>
    <w:rsid w:val="00CE633A"/>
    <w:rsid w:val="00CF0DF9"/>
    <w:rsid w:val="00D05BE6"/>
    <w:rsid w:val="00D160D0"/>
    <w:rsid w:val="00D172B6"/>
    <w:rsid w:val="00D17BF4"/>
    <w:rsid w:val="00D4390F"/>
    <w:rsid w:val="00D45F52"/>
    <w:rsid w:val="00D66EF1"/>
    <w:rsid w:val="00D91D9C"/>
    <w:rsid w:val="00DC0606"/>
    <w:rsid w:val="00DC29D8"/>
    <w:rsid w:val="00DC5D33"/>
    <w:rsid w:val="00DD0244"/>
    <w:rsid w:val="00DE5D26"/>
    <w:rsid w:val="00DF26DD"/>
    <w:rsid w:val="00E2272E"/>
    <w:rsid w:val="00E23E3E"/>
    <w:rsid w:val="00E26819"/>
    <w:rsid w:val="00E33F76"/>
    <w:rsid w:val="00E46A55"/>
    <w:rsid w:val="00E5343C"/>
    <w:rsid w:val="00E56639"/>
    <w:rsid w:val="00E64040"/>
    <w:rsid w:val="00E64B41"/>
    <w:rsid w:val="00E72386"/>
    <w:rsid w:val="00EB2814"/>
    <w:rsid w:val="00ED6921"/>
    <w:rsid w:val="00EF399C"/>
    <w:rsid w:val="00EF4982"/>
    <w:rsid w:val="00F153B7"/>
    <w:rsid w:val="00F467ED"/>
    <w:rsid w:val="00F54D85"/>
    <w:rsid w:val="00F55B09"/>
    <w:rsid w:val="00F6352B"/>
    <w:rsid w:val="00FC1047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0DE1"/>
  <w15:docId w15:val="{5E841E1B-E85A-4B8D-A5FA-F97AE8D2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B6E6-A65C-4002-A082-86A56EC2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User</cp:lastModifiedBy>
  <cp:revision>65</cp:revision>
  <cp:lastPrinted>2020-01-24T06:06:00Z</cp:lastPrinted>
  <dcterms:created xsi:type="dcterms:W3CDTF">2019-11-29T06:30:00Z</dcterms:created>
  <dcterms:modified xsi:type="dcterms:W3CDTF">2020-12-28T12:28:00Z</dcterms:modified>
</cp:coreProperties>
</file>