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A" w:rsidRPr="00D451CC" w:rsidRDefault="0038176A" w:rsidP="00C909A5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D451CC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E3511" w:rsidRPr="00D451CC">
        <w:rPr>
          <w:rFonts w:ascii="GHEA Grapalat" w:eastAsia="Times New Roman" w:hAnsi="GHEA Grapalat" w:cs="Sylfaen"/>
          <w:sz w:val="16"/>
          <w:szCs w:val="16"/>
          <w:lang w:val="hy-AM"/>
        </w:rPr>
        <w:t>57</w:t>
      </w:r>
      <w:r w:rsidRPr="00D451CC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8176A" w:rsidRPr="00D451CC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451C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D451C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451CC">
        <w:rPr>
          <w:rFonts w:ascii="GHEA Grapalat" w:eastAsia="Times New Roman" w:hAnsi="GHEA Grapalat" w:cs="Sylfaen"/>
          <w:sz w:val="16"/>
          <w:szCs w:val="16"/>
        </w:rPr>
        <w:t>է</w:t>
      </w:r>
    </w:p>
    <w:p w:rsidR="0038176A" w:rsidRPr="00D451CC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451C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D451C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D451C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8176A" w:rsidRPr="00D451CC" w:rsidRDefault="0038176A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451C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D451C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D451C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Pr="00D451CC" w:rsidRDefault="00EE3511" w:rsidP="00C909A5">
      <w:pPr>
        <w:spacing w:after="0"/>
        <w:ind w:firstLine="375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D451CC">
        <w:rPr>
          <w:rFonts w:ascii="GHEA Grapalat" w:hAnsi="GHEA Grapalat" w:cs="Sylfaen"/>
          <w:sz w:val="16"/>
          <w:szCs w:val="16"/>
          <w:lang w:val="hy-AM"/>
        </w:rPr>
        <w:t>20</w:t>
      </w:r>
      <w:r w:rsidRPr="00D451CC">
        <w:rPr>
          <w:rFonts w:ascii="GHEA Grapalat" w:hAnsi="GHEA Grapalat" w:cs="Sylfaen"/>
          <w:sz w:val="16"/>
          <w:szCs w:val="16"/>
        </w:rPr>
        <w:t>20</w:t>
      </w:r>
      <w:r w:rsidRPr="00D451CC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D451CC">
        <w:rPr>
          <w:rFonts w:ascii="GHEA Grapalat" w:hAnsi="GHEA Grapalat" w:cs="Sylfaen"/>
          <w:sz w:val="16"/>
          <w:szCs w:val="16"/>
        </w:rPr>
        <w:t>ապրիլի</w:t>
      </w:r>
      <w:r w:rsidRPr="00D451C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D451CC">
        <w:rPr>
          <w:rFonts w:ascii="GHEA Grapalat" w:hAnsi="GHEA Grapalat" w:cs="Sylfaen"/>
          <w:sz w:val="16"/>
          <w:szCs w:val="16"/>
        </w:rPr>
        <w:t>20-</w:t>
      </w:r>
      <w:r w:rsidRPr="00D451CC">
        <w:rPr>
          <w:rFonts w:ascii="GHEA Grapalat" w:hAnsi="GHEA Grapalat" w:cs="Sylfaen"/>
          <w:sz w:val="16"/>
          <w:szCs w:val="16"/>
          <w:lang w:val="ru-RU"/>
        </w:rPr>
        <w:t>ի</w:t>
      </w:r>
      <w:r w:rsidRPr="00D451CC">
        <w:rPr>
          <w:rFonts w:ascii="GHEA Grapalat" w:hAnsi="GHEA Grapalat" w:cs="Sylfaen"/>
          <w:sz w:val="16"/>
          <w:szCs w:val="16"/>
        </w:rPr>
        <w:t xml:space="preserve"> </w:t>
      </w:r>
      <w:r w:rsidRPr="00D451CC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D451CC">
        <w:rPr>
          <w:rFonts w:ascii="GHEA Grapalat" w:hAnsi="GHEA Grapalat" w:cs="Sylfaen"/>
          <w:sz w:val="16"/>
          <w:szCs w:val="16"/>
          <w:lang w:val="ru-RU"/>
        </w:rPr>
        <w:t>Կ</w:t>
      </w:r>
      <w:r w:rsidRPr="00D451CC">
        <w:rPr>
          <w:rFonts w:ascii="GHEA Grapalat" w:hAnsi="GHEA Grapalat" w:cs="Sylfaen"/>
          <w:sz w:val="16"/>
          <w:szCs w:val="16"/>
        </w:rPr>
        <w:t>77-</w:t>
      </w:r>
      <w:r w:rsidRPr="00D451CC">
        <w:rPr>
          <w:rFonts w:ascii="GHEA Grapalat" w:hAnsi="GHEA Grapalat" w:cs="Sylfaen"/>
          <w:sz w:val="16"/>
          <w:szCs w:val="16"/>
          <w:lang w:val="ru-RU"/>
        </w:rPr>
        <w:t>Ա</w:t>
      </w:r>
      <w:r w:rsidRPr="00D451CC">
        <w:rPr>
          <w:rFonts w:ascii="GHEA Grapalat" w:hAnsi="GHEA Grapalat" w:cs="Sylfaen"/>
          <w:sz w:val="16"/>
          <w:szCs w:val="16"/>
        </w:rPr>
        <w:t xml:space="preserve"> </w:t>
      </w:r>
      <w:r w:rsidR="00D773F8" w:rsidRPr="00D451CC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773F8" w:rsidRPr="00D451CC" w:rsidRDefault="00D773F8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D451CC" w:rsidRDefault="00113C7C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451CC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D451CC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D451CC" w:rsidRDefault="003A3874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451CC" w:rsidRDefault="00C61C6B" w:rsidP="00C909A5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794554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DF1808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</w:t>
      </w:r>
      <w:r w:rsidR="0038176A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ՀԱՄԱԿԱՐԳՄԱՆ </w:t>
      </w:r>
      <w:r w:rsidR="00D75032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ՊԵՏ</w:t>
      </w:r>
      <w:r w:rsidR="00554843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 ՏԵՂԱԿԱԼ</w:t>
      </w:r>
      <w:r w:rsidR="00F54D85" w:rsidRPr="00D451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D451CC" w:rsidRDefault="00113C7C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451CC" w:rsidRDefault="00113C7C" w:rsidP="00C909A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D451CC" w:rsidRPr="00D451CC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451CC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D451C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D451CC" w:rsidRPr="00A547C3" w:rsidTr="00726556">
        <w:trPr>
          <w:trHeight w:val="5308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D451CC" w:rsidRDefault="003C5E15" w:rsidP="00C909A5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D451C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8176A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DF1808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DF1808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38176A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համակարգման 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73CFF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73CFF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C7304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տեղակալ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Բաժնի պետ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տեղակալ</w:t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45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451CC">
              <w:rPr>
                <w:rFonts w:ascii="GHEA Grapalat" w:hAnsi="GHEA Grapalat"/>
                <w:sz w:val="24"/>
                <w:szCs w:val="24"/>
              </w:rPr>
              <w:t>70-</w:t>
            </w:r>
            <w:r w:rsidR="00BA5BAF" w:rsidRPr="00D451CC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D451CC">
              <w:rPr>
                <w:rFonts w:ascii="GHEA Grapalat" w:hAnsi="GHEA Grapalat"/>
                <w:sz w:val="24"/>
                <w:szCs w:val="24"/>
              </w:rPr>
              <w:t>-Ղ</w:t>
            </w:r>
            <w:r w:rsidR="007937A1" w:rsidRPr="00D451CC">
              <w:rPr>
                <w:rFonts w:ascii="GHEA Grapalat" w:hAnsi="GHEA Grapalat"/>
                <w:sz w:val="24"/>
                <w:szCs w:val="24"/>
              </w:rPr>
              <w:t>4</w:t>
            </w:r>
            <w:r w:rsidR="000D109F" w:rsidRPr="00D451CC">
              <w:rPr>
                <w:rFonts w:ascii="GHEA Grapalat" w:hAnsi="GHEA Grapalat"/>
                <w:sz w:val="24"/>
                <w:szCs w:val="24"/>
              </w:rPr>
              <w:t>-</w:t>
            </w:r>
            <w:r w:rsidR="00173CFF" w:rsidRPr="00D451C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D451CC">
              <w:rPr>
                <w:rFonts w:ascii="GHEA Grapalat" w:hAnsi="GHEA Grapalat"/>
                <w:sz w:val="24"/>
                <w:szCs w:val="24"/>
              </w:rPr>
              <w:t>)</w:t>
            </w:r>
            <w:r w:rsidRPr="00D451C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D451CC" w:rsidRDefault="00F54D85" w:rsidP="00C909A5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451C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Բաժնի </w:t>
            </w:r>
            <w:r w:rsidR="00554843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 տեղակալն</w:t>
            </w:r>
            <w:r w:rsidR="00ED6921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է</w:t>
            </w:r>
            <w:r w:rsidR="00554843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Բաժնի պետին</w:t>
            </w:r>
            <w:r w:rsidR="00ED6921" w:rsidRPr="00D451C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D451C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D451C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D451C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D451C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պետի տեղակալը</w:t>
            </w:r>
            <w:r w:rsidR="008C7304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 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ենթակա և հաշվետու </w:t>
            </w:r>
            <w:r w:rsidRPr="00D451CC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554843" w:rsidRPr="00D451CC">
              <w:rPr>
                <w:rFonts w:ascii="GHEA Grapalat" w:hAnsi="GHEA Grapalat"/>
                <w:sz w:val="24"/>
                <w:lang w:val="hy-AM"/>
              </w:rPr>
              <w:t>եր չունի</w:t>
            </w:r>
            <w:r w:rsidR="009A6B78" w:rsidRPr="00D451CC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451CC" w:rsidRDefault="003C5E15" w:rsidP="00C909A5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54D85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Բաժնի </w:t>
            </w:r>
            <w:r w:rsidR="008C7304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</w:t>
            </w:r>
            <w:r w:rsidR="0055484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տեղակալի</w:t>
            </w:r>
            <w:r w:rsidR="008C7304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D451CC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D451C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D451CC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554843" w:rsidRPr="00D451CC">
              <w:rPr>
                <w:rFonts w:ascii="GHEA Grapalat" w:hAnsi="GHEA Grapalat"/>
                <w:sz w:val="24"/>
                <w:lang w:val="hy-AM"/>
              </w:rPr>
              <w:t>պետ</w:t>
            </w:r>
            <w:r w:rsidR="00BA5BAF" w:rsidRPr="00D451CC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554843" w:rsidRPr="00D451CC">
              <w:rPr>
                <w:rFonts w:ascii="GHEA Grapalat" w:hAnsi="GHEA Grapalat"/>
                <w:sz w:val="24"/>
                <w:lang w:val="hy-AM"/>
              </w:rPr>
              <w:t xml:space="preserve">Բաժնի պետի </w:t>
            </w:r>
            <w:r w:rsidR="00972051" w:rsidRPr="00D451C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554843" w:rsidRPr="00D451CC">
              <w:rPr>
                <w:rFonts w:ascii="GHEA Grapalat" w:hAnsi="GHEA Grapalat"/>
                <w:sz w:val="24"/>
                <w:lang w:val="hy-AM"/>
              </w:rPr>
              <w:t xml:space="preserve">տեղակալը կամ </w:t>
            </w:r>
            <w:r w:rsidR="00BA5BAF" w:rsidRPr="00D451CC">
              <w:rPr>
                <w:rFonts w:ascii="GHEA Grapalat" w:hAnsi="GHEA Grapalat"/>
                <w:sz w:val="24"/>
                <w:lang w:val="hy-AM"/>
              </w:rPr>
              <w:t>Բաժնի գ</w:t>
            </w:r>
            <w:r w:rsidR="003A3874" w:rsidRPr="00D451CC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D451CC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D451CC">
              <w:rPr>
                <w:rFonts w:ascii="GHEA Grapalat" w:hAnsi="GHEA Grapalat"/>
                <w:sz w:val="24"/>
                <w:lang w:val="hy-AM"/>
              </w:rPr>
              <w:t>ը</w:t>
            </w:r>
            <w:r w:rsidR="00BA5BAF" w:rsidRPr="00D451CC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D451CC" w:rsidRDefault="003C5E15" w:rsidP="00C909A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D451C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C48B7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D451C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D451CC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D451CC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D451CC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D451CC" w:rsidRPr="00A547C3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451CC" w:rsidRDefault="003C5E15" w:rsidP="00C909A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D451CC" w:rsidRDefault="007C5CD9" w:rsidP="00C909A5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D451CC" w:rsidRDefault="007C5CD9" w:rsidP="00C909A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D451CC" w:rsidRDefault="0000101D" w:rsidP="00C909A5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93379" w:rsidRPr="00D451CC" w:rsidRDefault="00693379" w:rsidP="00693379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DF1808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բաժիններին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երկրների անասնահամաճարակային վիճակի, արձանագրված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վարակիչ հիվանդությունների, առկա սահմանափակումների վերաբերյալ՝ դրանց հետևելու ցուցումով տեղեկատվության տրամադրման գործընթացի նկատմամբ վերահսկողության աշխատանքները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93379" w:rsidRPr="00D451CC" w:rsidRDefault="00693379" w:rsidP="00693379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DF1808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կիրառման ապահովման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DF1808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DF1808"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գործունեության մեթոդական ղեկավար</w:t>
            </w:r>
            <w:r w:rsidR="00523F62" w:rsidRPr="00D451CC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համակարգում է </w:t>
            </w:r>
            <w:r w:rsidRPr="00D451CC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DF1808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համակարգում է  տնտեսվարող սուբյեկտների խորհրդատվության տրամադրման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համակարգում է սննդամթերքի, սննդամթերքի հետ անմիջական շփման մեջ գտնվող նյութերի, անասնաբուժական և բուսասանիտարական ենթահսկման ապրանքների ներմուծման և արտահանման գործընթացներում ուղեկցող փաստաթղթերի</w:t>
            </w:r>
            <w:r w:rsidR="00A547C3" w:rsidRPr="008D5BE2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ձևակերպման, հաշվառման և օգտագործման գործընթացները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կատարողական չափանիշների, ցուցանիշների հիման վրա համակարգում է </w:t>
            </w:r>
            <w:r w:rsidR="00E24361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աշխատանքները, աշխատանքային ծրագրերի կազմումը և դրանց կատարման աշխատանքները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Բաժնի իրավասության շրջանակներում իրավական ակտերի նախագծերի մշակման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սննդամթերքի,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գտնվող նյութերի, անասնաբուժական և բուսասանիտարական ենթահսկման ապրանքների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 ժամանակ 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0C48B7" w:rsidRPr="00D451CC" w:rsidRDefault="000C48B7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412B73" w:rsidRPr="00A547C3" w:rsidRDefault="00412B73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աշխատանքների իրականացումը.</w:t>
            </w:r>
          </w:p>
          <w:p w:rsidR="00A547C3" w:rsidRPr="00D451CC" w:rsidRDefault="00A547C3" w:rsidP="000C48B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համակարգում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>.</w:t>
            </w:r>
          </w:p>
          <w:p w:rsidR="005A3C73" w:rsidRPr="00D451CC" w:rsidRDefault="005A3C73" w:rsidP="00C909A5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D451CC" w:rsidRDefault="007C5CD9" w:rsidP="00C909A5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451C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D451CC" w:rsidRDefault="00DC5D33" w:rsidP="00C909A5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971E9" w:rsidRPr="00D451CC" w:rsidRDefault="002971E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D71C6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գործառույթների և խնդիրների իրականացման հետ կապված անհրաժեշտ տեղեկատվություն, փաստաթղթեր և </w:t>
            </w:r>
            <w:r w:rsidR="00C8091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60DA5" w:rsidRPr="00D451CC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E60DA5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միջազգային համագործակցության շրջանակներում, մասնավորապես՝ Եվրասիական տնտեսական միության անդամ պետությունների հետ կազմակերպվող ժողովներին, կոնֆերանսներին, քննարկումներին, խնդրո առարկայի վերաբերյալ 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E60DA5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դիրքորոշումներ</w:t>
            </w:r>
            <w:r w:rsidR="00E60DA5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առաջարկություններ, կարծիքներ և եզրակացություններ.</w:t>
            </w:r>
            <w:r w:rsidR="00E60DA5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0521F" w:rsidRPr="00D451CC" w:rsidRDefault="00C0521F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համապատասխան մարմիններից </w:t>
            </w:r>
            <w:r w:rsidR="004D71C6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պահանջել 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էլեկտրոնային տեղեկատվական համակարգում ներառվող անհրաժեշտ </w:t>
            </w:r>
            <w:r w:rsidR="00C80919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տեղեկատվություն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C80919" w:rsidRPr="00D451CC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Տեսչական մարմնի կողմից վարվող էլեկտրոնային տեղեկատվական բազաների վարման աշխատանքներին.</w:t>
            </w:r>
          </w:p>
          <w:p w:rsidR="003E5E70" w:rsidRPr="00D451CC" w:rsidRDefault="003E5E70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</w:t>
            </w:r>
            <w:r w:rsidR="00C8091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հրավիրել խորհրդակցություններ</w:t>
            </w:r>
            <w:r w:rsidR="00972051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, աշխատանքային և մասնագիտական քննարկումներ՝</w:t>
            </w:r>
            <w:r w:rsidR="00972051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դրանց մասնակից դարձնելով համապատասխան մարմինների պաշտոնատար անձանց, մասնագետների և փորձագետների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C8091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C8091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C8091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12B73" w:rsidRPr="00D451CC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տեղեկատվությունը.</w:t>
            </w:r>
          </w:p>
          <w:p w:rsidR="00775518" w:rsidRPr="00D451CC" w:rsidRDefault="00775518" w:rsidP="00C909A5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D451CC" w:rsidRDefault="007C5CD9" w:rsidP="00C909A5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D451CC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7C5CD9" w:rsidRPr="00D451CC" w:rsidRDefault="007C5CD9" w:rsidP="00C909A5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 արդյունքում բացահայտված թերությունների վերաբերյալ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ru-RU"/>
              </w:rPr>
              <w:t>Բաժնի</w:t>
            </w:r>
            <w:r w:rsidRPr="00D451C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ru-RU"/>
              </w:rPr>
              <w:t>պետին</w:t>
            </w:r>
            <w:r w:rsidRPr="00D451C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դրանց վերացմանն ուղղված գործողությունների ծրագիր՝ համապատասխան հիմնավորումներով և անհրաժեշտ փաստաթղթերով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գնահատել 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շահառուների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փոփոխությունները,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ազդեցությունները, սահմանել փոփոխությունների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առաջնահերթությունները</w:t>
            </w:r>
            <w:r w:rsidRPr="00D451C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» էլեկտրոնային համակարգ մուտքագրվող տվյալների ներդաշնակեցման և ստանդարտացման նպատակով սահմանել համապատասխան ստանդարտներ</w:t>
            </w:r>
            <w:r w:rsidRPr="00D451C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պարզեցնել և համապատասխանեցնել տարբեր, սակայն փոխկապակցված փաստաթղթերում կիրառվող տվյալների պահանջները</w:t>
            </w:r>
            <w:r w:rsidRPr="00D451C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էլեկտրոնային համակարգ մուտքագրվող տվյալների՝ միջազգային ստանդարտներին համապատասխան 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ներդաշնակեցման վերաբերյալ Բաժնի պետին ներկայացնել առաջարկություններ համապատասխան հիմնավորումներով և առաջարկություններով</w:t>
            </w:r>
            <w:r w:rsidRPr="00D451C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54843" w:rsidRPr="00D451CC" w:rsidRDefault="0055484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տվյալները և փաստաթղթերը 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» էլեկտրոնային համակարգով բաշխելու նպատակով սահմանել տվյալների պահպանման և դրանց բաշխման կարգ</w:t>
            </w:r>
            <w:r w:rsidRPr="00D451C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E47B5" w:rsidRPr="00D451CC" w:rsidRDefault="002E47B5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սննդամթերքի և սննդային ու կենսաբանական ակտիվ հավելումների ռիսկայնության աստիճանի որոշման վերաբերյալ հաշվետվությունները և ամփոփել արդյունքները, խնդիրների, օրենսդրության պահանջների խախտումներ հայտնաբերելու դեպքում </w:t>
            </w:r>
            <w:r w:rsidR="00554843"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պետին </w:t>
            </w:r>
            <w:r w:rsidRPr="00D451C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դրանց վերացման վերաբերյալ առաջարկություններ.</w:t>
            </w:r>
          </w:p>
          <w:p w:rsidR="00A30269" w:rsidRPr="00D451CC" w:rsidRDefault="00C80919" w:rsidP="00C909A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9425A1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առաջարկությունների, հաշվետվությունների, տեղեկանքների, միջնորդագրերի, զեկուցագրերի և այլ գրությունների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նախապատրաստման աշխատանքներին, անհրաժեշտության դեպքում, </w:t>
            </w:r>
            <w:r w:rsidR="00D36C57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ան աջակցություն ցուցաբերել</w:t>
            </w:r>
            <w:r w:rsidR="00624A4D"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D451CC" w:rsidRDefault="007A14F0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2971E9" w:rsidRPr="00D451CC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451CC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D451C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12B73" w:rsidRPr="00D451CC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ստուգել </w:t>
            </w:r>
            <w:r w:rsidRPr="00D451CC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տեղեկատվության՝ էլեկտրոնային բազա մուտքագրման աշխատանքի իրականացումը</w:t>
            </w:r>
            <w:r w:rsidRPr="00D451CC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412B73" w:rsidRDefault="00412B7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 w:cs="Arial"/>
                <w:sz w:val="24"/>
                <w:szCs w:val="24"/>
                <w:lang w:val="hy-AM"/>
              </w:rPr>
              <w:t>ստուգել համակարգչային ծրագրի միջոցով շրջանակային համաձայնագրեր կնքած մասնակիցներից համապատասխան լաբորատորիաների ընտրության աշխատանքի իրականացումը.</w:t>
            </w:r>
          </w:p>
          <w:p w:rsidR="00A547C3" w:rsidRPr="00D451CC" w:rsidRDefault="00A547C3" w:rsidP="00C909A5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ամփոփել մոնիթորինգի կամ ուժեղացված լաբորատոր հսկողության ընթացքում հայտնաբերված խախտումների մասին Տեսչական մարմնի անասնաբուժության վարչությանը սահմանված կարգով և ժամկետներում տեղեկատվության տրամադրման աշխատանքները.</w:t>
            </w:r>
            <w:bookmarkStart w:id="0" w:name="_GoBack"/>
            <w:bookmarkEnd w:id="0"/>
          </w:p>
        </w:tc>
      </w:tr>
      <w:tr w:rsidR="00D451CC" w:rsidRPr="00D451CC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451CC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D451CC" w:rsidRDefault="003C5E15" w:rsidP="00C909A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D451C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D451C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D451C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451C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451C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D451CC" w:rsidRDefault="0000101D" w:rsidP="00C909A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D451CC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D451CC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D451CC">
              <w:rPr>
                <w:rFonts w:ascii="GHEA Grapalat" w:hAnsi="GHEA Grapalat"/>
                <w:lang w:val="hy-AM"/>
              </w:rPr>
              <w:br/>
            </w:r>
            <w:r w:rsidR="003C5E15" w:rsidRPr="00D451CC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D451C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D451C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D451C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D451C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D451CC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D451CC">
              <w:rPr>
                <w:rFonts w:ascii="GHEA Grapalat" w:hAnsi="GHEA Grapalat"/>
                <w:lang w:val="hy-AM"/>
              </w:rPr>
              <w:br/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D451C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D451CC">
              <w:rPr>
                <w:rFonts w:ascii="GHEA Grapalat" w:hAnsi="GHEA Grapalat"/>
                <w:lang w:val="hy-AM"/>
              </w:rPr>
              <w:br/>
            </w:r>
            <w:r w:rsidR="00775518" w:rsidRPr="00D451CC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219C8" w:rsidRPr="00D451CC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775518" w:rsidRPr="00D451CC">
              <w:rPr>
                <w:rFonts w:ascii="GHEA Grapalat" w:hAnsi="GHEA Grapalat" w:cs="Sylfaen"/>
                <w:lang w:val="hy-AM"/>
              </w:rPr>
              <w:t>ա</w:t>
            </w:r>
            <w:r w:rsidR="002219C8" w:rsidRPr="00D451CC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680B7B" w:rsidRPr="00D451CC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D451C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693379" w:rsidRPr="00D451C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</w:t>
            </w:r>
            <w:r w:rsidR="00693379" w:rsidRPr="00D451CC">
              <w:rPr>
                <w:rFonts w:ascii="GHEA Grapalat" w:hAnsi="GHEA Grapalat" w:cs="Sylfaen"/>
                <w:lang w:val="hy-AM"/>
              </w:rPr>
              <w:lastRenderedPageBreak/>
              <w:t xml:space="preserve">ստուգումների կազմակերպման և անցկացման </w:t>
            </w:r>
            <w:r w:rsidR="00775518" w:rsidRPr="00D451C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80B7B" w:rsidRPr="00D451CC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D451C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72051" w:rsidRPr="00D451C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D451C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D451C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D451CC" w:rsidRDefault="008E696F" w:rsidP="00C909A5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D451C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D451CC" w:rsidRDefault="00E9531E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Աշխատակազմի </w:t>
            </w:r>
            <w:r w:rsidR="0000101D"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D451CC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D451CC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D451CC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D451CC" w:rsidRDefault="0000101D" w:rsidP="00C909A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D451CC" w:rsidRDefault="0000101D" w:rsidP="0097205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D451C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D451CC" w:rsidRDefault="008E696F" w:rsidP="00C909A5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D451C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D451CC" w:rsidRDefault="00531B09" w:rsidP="00C909A5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D451CC" w:rsidRDefault="00531B09" w:rsidP="0097205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451CC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D451CC" w:rsidRPr="00A547C3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451CC" w:rsidRDefault="003C5E15" w:rsidP="00C909A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D451C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937A1" w:rsidRPr="00D451CC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  <w:r w:rsidRPr="00D451CC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7937A1" w:rsidRPr="00D451CC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972051" w:rsidRPr="00D451CC" w:rsidRDefault="007937A1" w:rsidP="00C909A5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տվյալ մարմնի, այլ պետական մարմնինների և կազմակերպությունների ներկայացուցիչների, ինչպես նաև 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օտարերկրյա պետությունների և միջազգային կազմակերպությունների ներկայացուցիչների հետ՝ իր իրավասությունների շրջանակներում:</w:t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937A1" w:rsidRPr="00D451CC" w:rsidRDefault="007937A1" w:rsidP="00C909A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51C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D451C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D451CC" w:rsidRDefault="007937A1" w:rsidP="00C909A5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451C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      </w:r>
            <w:r w:rsidRPr="00D451CC">
              <w:rPr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451CC" w:rsidRDefault="001859CD" w:rsidP="00C909A5">
      <w:pPr>
        <w:rPr>
          <w:rFonts w:ascii="GHEA Grapalat" w:hAnsi="GHEA Grapalat"/>
          <w:lang w:val="hy-AM"/>
        </w:rPr>
      </w:pPr>
    </w:p>
    <w:sectPr w:rsidR="001859CD" w:rsidRPr="00D451CC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49A2"/>
    <w:multiLevelType w:val="hybridMultilevel"/>
    <w:tmpl w:val="74B84AA8"/>
    <w:lvl w:ilvl="0" w:tplc="801E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10"/>
  </w:num>
  <w:num w:numId="7">
    <w:abstractNumId w:val="30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24"/>
  </w:num>
  <w:num w:numId="15">
    <w:abstractNumId w:val="26"/>
  </w:num>
  <w:num w:numId="16">
    <w:abstractNumId w:val="19"/>
  </w:num>
  <w:num w:numId="17">
    <w:abstractNumId w:val="25"/>
  </w:num>
  <w:num w:numId="18">
    <w:abstractNumId w:val="13"/>
  </w:num>
  <w:num w:numId="19">
    <w:abstractNumId w:val="0"/>
  </w:num>
  <w:num w:numId="20">
    <w:abstractNumId w:val="22"/>
  </w:num>
  <w:num w:numId="21">
    <w:abstractNumId w:val="5"/>
  </w:num>
  <w:num w:numId="22">
    <w:abstractNumId w:val="28"/>
  </w:num>
  <w:num w:numId="23">
    <w:abstractNumId w:val="9"/>
  </w:num>
  <w:num w:numId="24">
    <w:abstractNumId w:val="21"/>
  </w:num>
  <w:num w:numId="25">
    <w:abstractNumId w:val="20"/>
  </w:num>
  <w:num w:numId="26">
    <w:abstractNumId w:val="17"/>
  </w:num>
  <w:num w:numId="27">
    <w:abstractNumId w:val="27"/>
  </w:num>
  <w:num w:numId="28">
    <w:abstractNumId w:val="29"/>
  </w:num>
  <w:num w:numId="29">
    <w:abstractNumId w:val="8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84C9F"/>
    <w:rsid w:val="0009397E"/>
    <w:rsid w:val="000C48B7"/>
    <w:rsid w:val="000D109F"/>
    <w:rsid w:val="000D392B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64624"/>
    <w:rsid w:val="00173CFF"/>
    <w:rsid w:val="00176106"/>
    <w:rsid w:val="001859CD"/>
    <w:rsid w:val="001934FD"/>
    <w:rsid w:val="001B5EAC"/>
    <w:rsid w:val="001B6BFE"/>
    <w:rsid w:val="001D0890"/>
    <w:rsid w:val="001D3FF1"/>
    <w:rsid w:val="001F5027"/>
    <w:rsid w:val="002219C8"/>
    <w:rsid w:val="002223A6"/>
    <w:rsid w:val="0022760E"/>
    <w:rsid w:val="00251AF0"/>
    <w:rsid w:val="00260F20"/>
    <w:rsid w:val="002625FD"/>
    <w:rsid w:val="002755E7"/>
    <w:rsid w:val="002971E9"/>
    <w:rsid w:val="002A63EA"/>
    <w:rsid w:val="002C08C1"/>
    <w:rsid w:val="002E24BA"/>
    <w:rsid w:val="002E2AF9"/>
    <w:rsid w:val="002E47B5"/>
    <w:rsid w:val="00317CA3"/>
    <w:rsid w:val="00334754"/>
    <w:rsid w:val="00343519"/>
    <w:rsid w:val="00350501"/>
    <w:rsid w:val="00363AC8"/>
    <w:rsid w:val="0038176A"/>
    <w:rsid w:val="003914A3"/>
    <w:rsid w:val="003A05B5"/>
    <w:rsid w:val="003A3874"/>
    <w:rsid w:val="003C5E15"/>
    <w:rsid w:val="003D1668"/>
    <w:rsid w:val="003E5E70"/>
    <w:rsid w:val="003F0F4D"/>
    <w:rsid w:val="00411E7F"/>
    <w:rsid w:val="00412B73"/>
    <w:rsid w:val="00425257"/>
    <w:rsid w:val="0043050E"/>
    <w:rsid w:val="00430641"/>
    <w:rsid w:val="004321DE"/>
    <w:rsid w:val="0044269D"/>
    <w:rsid w:val="00445584"/>
    <w:rsid w:val="004553CA"/>
    <w:rsid w:val="00462953"/>
    <w:rsid w:val="004973F5"/>
    <w:rsid w:val="0049783D"/>
    <w:rsid w:val="004A2807"/>
    <w:rsid w:val="004D71C6"/>
    <w:rsid w:val="004E48C0"/>
    <w:rsid w:val="004F182B"/>
    <w:rsid w:val="004F1903"/>
    <w:rsid w:val="00504CE0"/>
    <w:rsid w:val="00507FE9"/>
    <w:rsid w:val="00511E15"/>
    <w:rsid w:val="005147CF"/>
    <w:rsid w:val="00523F62"/>
    <w:rsid w:val="00525908"/>
    <w:rsid w:val="005266D9"/>
    <w:rsid w:val="00531B09"/>
    <w:rsid w:val="00543491"/>
    <w:rsid w:val="005456DA"/>
    <w:rsid w:val="00551BA2"/>
    <w:rsid w:val="00553E78"/>
    <w:rsid w:val="00554281"/>
    <w:rsid w:val="00554843"/>
    <w:rsid w:val="0056483E"/>
    <w:rsid w:val="0056545A"/>
    <w:rsid w:val="00567F5A"/>
    <w:rsid w:val="00582658"/>
    <w:rsid w:val="005A287D"/>
    <w:rsid w:val="005A3C73"/>
    <w:rsid w:val="005C3C22"/>
    <w:rsid w:val="005E5F95"/>
    <w:rsid w:val="005E646E"/>
    <w:rsid w:val="00624A4D"/>
    <w:rsid w:val="00635347"/>
    <w:rsid w:val="00680B7B"/>
    <w:rsid w:val="00683747"/>
    <w:rsid w:val="0068651B"/>
    <w:rsid w:val="00693379"/>
    <w:rsid w:val="006A3D92"/>
    <w:rsid w:val="006A3E25"/>
    <w:rsid w:val="006A54A3"/>
    <w:rsid w:val="006B1D27"/>
    <w:rsid w:val="006C238C"/>
    <w:rsid w:val="006D24A9"/>
    <w:rsid w:val="006F6A16"/>
    <w:rsid w:val="00726556"/>
    <w:rsid w:val="007709D2"/>
    <w:rsid w:val="00775518"/>
    <w:rsid w:val="007926BD"/>
    <w:rsid w:val="007937A1"/>
    <w:rsid w:val="00794554"/>
    <w:rsid w:val="007A14F0"/>
    <w:rsid w:val="007B3877"/>
    <w:rsid w:val="007C5CD9"/>
    <w:rsid w:val="007D1D9B"/>
    <w:rsid w:val="007D607D"/>
    <w:rsid w:val="00802C83"/>
    <w:rsid w:val="00805CF8"/>
    <w:rsid w:val="008176B6"/>
    <w:rsid w:val="00822C26"/>
    <w:rsid w:val="00835CBB"/>
    <w:rsid w:val="00855F7E"/>
    <w:rsid w:val="008802B3"/>
    <w:rsid w:val="00891620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64BA9"/>
    <w:rsid w:val="00972051"/>
    <w:rsid w:val="00991B92"/>
    <w:rsid w:val="009A0475"/>
    <w:rsid w:val="009A6B78"/>
    <w:rsid w:val="009C14E8"/>
    <w:rsid w:val="009D0775"/>
    <w:rsid w:val="009F038F"/>
    <w:rsid w:val="00A15B93"/>
    <w:rsid w:val="00A30269"/>
    <w:rsid w:val="00A36C07"/>
    <w:rsid w:val="00A47B7E"/>
    <w:rsid w:val="00A53FF1"/>
    <w:rsid w:val="00A547C3"/>
    <w:rsid w:val="00A636A3"/>
    <w:rsid w:val="00A7753C"/>
    <w:rsid w:val="00AA4C3B"/>
    <w:rsid w:val="00AD6CC0"/>
    <w:rsid w:val="00AD6DC9"/>
    <w:rsid w:val="00AE2B84"/>
    <w:rsid w:val="00AF48D5"/>
    <w:rsid w:val="00B060EC"/>
    <w:rsid w:val="00B40223"/>
    <w:rsid w:val="00B5277A"/>
    <w:rsid w:val="00B674BF"/>
    <w:rsid w:val="00B84089"/>
    <w:rsid w:val="00BA03E2"/>
    <w:rsid w:val="00BA5BAF"/>
    <w:rsid w:val="00BC2567"/>
    <w:rsid w:val="00BF63FF"/>
    <w:rsid w:val="00C01297"/>
    <w:rsid w:val="00C0521F"/>
    <w:rsid w:val="00C179D4"/>
    <w:rsid w:val="00C21983"/>
    <w:rsid w:val="00C26ACD"/>
    <w:rsid w:val="00C45438"/>
    <w:rsid w:val="00C61C6B"/>
    <w:rsid w:val="00C80919"/>
    <w:rsid w:val="00C909A5"/>
    <w:rsid w:val="00C9375E"/>
    <w:rsid w:val="00CB4E34"/>
    <w:rsid w:val="00CC37A1"/>
    <w:rsid w:val="00CD1366"/>
    <w:rsid w:val="00CE633A"/>
    <w:rsid w:val="00CF0DF9"/>
    <w:rsid w:val="00D04AEB"/>
    <w:rsid w:val="00D160D0"/>
    <w:rsid w:val="00D17BF4"/>
    <w:rsid w:val="00D36C57"/>
    <w:rsid w:val="00D404F2"/>
    <w:rsid w:val="00D4390F"/>
    <w:rsid w:val="00D451CC"/>
    <w:rsid w:val="00D45F52"/>
    <w:rsid w:val="00D50A8D"/>
    <w:rsid w:val="00D75032"/>
    <w:rsid w:val="00D773F8"/>
    <w:rsid w:val="00D81FFC"/>
    <w:rsid w:val="00D840C5"/>
    <w:rsid w:val="00D86AA7"/>
    <w:rsid w:val="00DC29D8"/>
    <w:rsid w:val="00DC5D33"/>
    <w:rsid w:val="00DE5D26"/>
    <w:rsid w:val="00DF1808"/>
    <w:rsid w:val="00E2272E"/>
    <w:rsid w:val="00E23E3E"/>
    <w:rsid w:val="00E24361"/>
    <w:rsid w:val="00E310F5"/>
    <w:rsid w:val="00E33F76"/>
    <w:rsid w:val="00E46A55"/>
    <w:rsid w:val="00E5343C"/>
    <w:rsid w:val="00E60DA5"/>
    <w:rsid w:val="00E64B41"/>
    <w:rsid w:val="00E72386"/>
    <w:rsid w:val="00E9531E"/>
    <w:rsid w:val="00ED6921"/>
    <w:rsid w:val="00EE3511"/>
    <w:rsid w:val="00F04379"/>
    <w:rsid w:val="00F153B7"/>
    <w:rsid w:val="00F17C8F"/>
    <w:rsid w:val="00F20B4F"/>
    <w:rsid w:val="00F467ED"/>
    <w:rsid w:val="00F54D85"/>
    <w:rsid w:val="00F55B09"/>
    <w:rsid w:val="00F6352B"/>
    <w:rsid w:val="00F83241"/>
    <w:rsid w:val="00F847FE"/>
    <w:rsid w:val="00F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7F1D"/>
  <w15:docId w15:val="{B4F9E2E9-8CA3-4388-8F74-CE8FDB3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A19B-EE5A-4384-B1B6-1DD5F45F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53</cp:revision>
  <cp:lastPrinted>2019-03-13T08:19:00Z</cp:lastPrinted>
  <dcterms:created xsi:type="dcterms:W3CDTF">2019-11-27T05:24:00Z</dcterms:created>
  <dcterms:modified xsi:type="dcterms:W3CDTF">2024-09-18T11:16:00Z</dcterms:modified>
</cp:coreProperties>
</file>