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6AFB4" w14:textId="7C277CD6" w:rsidR="00EB2877" w:rsidRPr="00EB2877" w:rsidRDefault="00EB2877" w:rsidP="00EB2877">
      <w:pPr>
        <w:spacing w:line="360" w:lineRule="auto"/>
        <w:jc w:val="center"/>
        <w:rPr>
          <w:rFonts w:ascii="GHEA Grapalat" w:hAnsi="GHEA Grapalat"/>
          <w:sz w:val="28"/>
          <w:szCs w:val="28"/>
        </w:rPr>
      </w:pPr>
      <w:r w:rsidRPr="00EB2877">
        <w:rPr>
          <w:rFonts w:ascii="GHEA Grapalat" w:hAnsi="GHEA Grapalat"/>
          <w:sz w:val="28"/>
          <w:szCs w:val="28"/>
        </w:rPr>
        <w:t>ՎՎՀԿԿ ՀԱՄԱԿԱՐԳԻ (НАССР) ՍԿԶԲՈՒՆՔՆԵՐԻ ՎՐԱ ՀԻՄՆՎԱԾ ԸՆԹԱՑԱԿԱՐԳԵՐ</w:t>
      </w:r>
      <w:r w:rsidR="00B35131">
        <w:rPr>
          <w:rFonts w:ascii="GHEA Grapalat" w:hAnsi="GHEA Grapalat"/>
          <w:sz w:val="28"/>
          <w:szCs w:val="28"/>
        </w:rPr>
        <w:t xml:space="preserve"> ՀԱՆՐԱՅԻՆ ՍՆՆԴԻ ՕԲՅԵԿՏՆԵՐԻ ՀԱՄԱՐ</w:t>
      </w:r>
      <w:bookmarkStart w:id="0" w:name="_GoBack"/>
      <w:bookmarkEnd w:id="0"/>
    </w:p>
    <w:p w14:paraId="758F53CB" w14:textId="77777777" w:rsidR="00EB2877" w:rsidRPr="00EB2877" w:rsidRDefault="00EB2877" w:rsidP="00EB2877">
      <w:pPr>
        <w:spacing w:line="360" w:lineRule="auto"/>
        <w:jc w:val="both"/>
        <w:rPr>
          <w:rFonts w:ascii="GHEA Grapalat" w:hAnsi="GHEA Grapalat"/>
        </w:rPr>
      </w:pPr>
    </w:p>
    <w:p w14:paraId="77409F18" w14:textId="005015A6" w:rsidR="00EB2877" w:rsidRPr="00EB2877" w:rsidRDefault="00EB2877" w:rsidP="00EB2877">
      <w:pPr>
        <w:spacing w:line="360" w:lineRule="auto"/>
        <w:jc w:val="both"/>
        <w:rPr>
          <w:rFonts w:ascii="GHEA Grapalat" w:hAnsi="GHEA Grapalat"/>
        </w:rPr>
      </w:pPr>
      <w:r w:rsidRPr="00EB2877">
        <w:rPr>
          <w:rFonts w:ascii="GHEA Grapalat" w:hAnsi="GHEA Grapalat"/>
        </w:rPr>
        <w:t>Հիմք ընդունելով հանրային սննդի օբյեկտներում արձանագրված թունավորման դեպքերի պատճառների վերլուծությունը, ինչպես նաև հանրային սննդի կազմակերպման որակի բարձրացման անհրաժեշտությանը՝ ՀՀ սննդամթերքի անվտանգության տեսչական մարմինն առաջարկել է ԵԱՏՄ իրավական ակտերով սահմանված Վտանգի վերլուծության և հսկման կրիտիկական կետերի համակարգի (ՎՎՀԿԿ - НАССР) պահանջները ներառել նաև հանրային սննդի կազմակերպությունների համար սահմանված ստուգաթերթում՝ դրանց նկատմամբ տեսչական մարմնի կողմից վերահսկողություն իրականացնելու նպատակով։ Մինչ համապատասխան ընթացակարգերի անցկացումն ու ՀՀ կառավարության համապատասխան որոշման ընդունումը, Տեսչական մարմինը հանրային սննդի կազմակերպիչներին առաջարկում է ներդնել օրենդրությանը համապատասխան ՎՎՀԿԿ – НАССР համակարգեր:</w:t>
      </w:r>
    </w:p>
    <w:p w14:paraId="2BB6DD81" w14:textId="77777777" w:rsidR="00D46722" w:rsidRDefault="00EB2877" w:rsidP="00EB2877">
      <w:pPr>
        <w:spacing w:line="360" w:lineRule="auto"/>
        <w:ind w:firstLine="720"/>
        <w:jc w:val="both"/>
        <w:rPr>
          <w:rFonts w:ascii="GHEA Grapalat" w:hAnsi="GHEA Grapalat"/>
        </w:rPr>
      </w:pPr>
      <w:r w:rsidRPr="00EB2877">
        <w:rPr>
          <w:rFonts w:ascii="GHEA Grapalat" w:hAnsi="GHEA Grapalat"/>
        </w:rPr>
        <w:t xml:space="preserve">Թե ինչ է Վտանգի վերլուծության և հսկման կրիտիկական կետերի համակարգը (ՎՎՀԿԿ - НАССР), որն արդեն իսկ պարտադիր է սննդամթերքի արտադրության գործընթացների ժամանակ, կարող եք ծանոթանալ ՍԱՏՄ պաշտոնական կայքում՝ հետևյալ հղումով՝ </w:t>
      </w:r>
    </w:p>
    <w:p w14:paraId="5AD98D3E" w14:textId="20C3A703" w:rsidR="00EB2877" w:rsidRPr="00EB2877" w:rsidRDefault="00D46722" w:rsidP="00EB2877">
      <w:pPr>
        <w:spacing w:line="360" w:lineRule="auto"/>
        <w:ind w:firstLine="720"/>
        <w:jc w:val="both"/>
        <w:rPr>
          <w:rFonts w:ascii="GHEA Grapalat" w:hAnsi="GHEA Grapalat"/>
        </w:rPr>
      </w:pPr>
      <w:hyperlink r:id="rId4" w:history="1">
        <w:r w:rsidRPr="00357D6C">
          <w:rPr>
            <w:rStyle w:val="Hyperlink"/>
            <w:rFonts w:ascii="GHEA Grapalat" w:hAnsi="GHEA Grapalat"/>
          </w:rPr>
          <w:t>https://snund.am/hy/page/hazard-analysis-and-control-of-critical-points/139</w:t>
        </w:r>
      </w:hyperlink>
      <w:r>
        <w:rPr>
          <w:rFonts w:ascii="GHEA Grapalat" w:hAnsi="GHEA Grapalat"/>
        </w:rPr>
        <w:t>:</w:t>
      </w:r>
    </w:p>
    <w:p w14:paraId="670C6261" w14:textId="77777777" w:rsidR="00EB2877" w:rsidRPr="00EB2877" w:rsidRDefault="00EB2877" w:rsidP="00EB2877">
      <w:pPr>
        <w:spacing w:line="360" w:lineRule="auto"/>
        <w:ind w:firstLine="720"/>
        <w:jc w:val="both"/>
        <w:rPr>
          <w:rFonts w:ascii="GHEA Grapalat" w:hAnsi="GHEA Grapalat"/>
        </w:rPr>
      </w:pPr>
      <w:r w:rsidRPr="00EB2877">
        <w:rPr>
          <w:rFonts w:ascii="GHEA Grapalat" w:hAnsi="GHEA Grapalat"/>
        </w:rPr>
        <w:t>Միաժամանակ ներկայացնում ենք ՎՎՀԿԿ - НАССР այն հիմնական սկզբունքները, որոնց պահպանումը առաջնային պահանջ է (հանրային սննդի կետերում սննդի պատրաստումը ևս սննդամթերքի արտադրության գործընթաց է).</w:t>
      </w:r>
    </w:p>
    <w:p w14:paraId="612721CA" w14:textId="77777777" w:rsidR="00EB2877" w:rsidRPr="00EB2877" w:rsidRDefault="00EB2877" w:rsidP="00EB2877">
      <w:pPr>
        <w:spacing w:line="360" w:lineRule="auto"/>
        <w:jc w:val="both"/>
        <w:rPr>
          <w:rFonts w:ascii="GHEA Grapalat" w:hAnsi="GHEA Grapalat"/>
        </w:rPr>
      </w:pPr>
    </w:p>
    <w:p w14:paraId="2EFBB401" w14:textId="7D260BB6" w:rsidR="00EB2877" w:rsidRPr="00EB2877" w:rsidRDefault="00EB2877" w:rsidP="00EB2877">
      <w:pPr>
        <w:spacing w:line="360" w:lineRule="auto"/>
        <w:ind w:firstLine="720"/>
        <w:jc w:val="both"/>
        <w:rPr>
          <w:rFonts w:ascii="GHEA Grapalat" w:hAnsi="GHEA Grapalat"/>
        </w:rPr>
      </w:pPr>
      <w:r w:rsidRPr="00EB2877">
        <w:rPr>
          <w:rFonts w:ascii="GHEA Grapalat" w:hAnsi="GHEA Grapalat"/>
        </w:rPr>
        <w:lastRenderedPageBreak/>
        <w:t>1. պետք է հստակ ընտրվեն սննդամթերքի անվտանգությունն ապահովելու համար անհրաժեշտ սննդամթերքի արտադրության տեխնոլոգիական գործընթացները,</w:t>
      </w:r>
    </w:p>
    <w:p w14:paraId="5D5832D5" w14:textId="5044DED9" w:rsidR="00EB2877" w:rsidRPr="00EB2877" w:rsidRDefault="00EB2877" w:rsidP="00EB2877">
      <w:pPr>
        <w:spacing w:line="360" w:lineRule="auto"/>
        <w:ind w:firstLine="720"/>
        <w:jc w:val="both"/>
        <w:rPr>
          <w:rFonts w:ascii="GHEA Grapalat" w:hAnsi="GHEA Grapalat"/>
        </w:rPr>
      </w:pPr>
      <w:r w:rsidRPr="00EB2877">
        <w:rPr>
          <w:rFonts w:ascii="GHEA Grapalat" w:hAnsi="GHEA Grapalat"/>
        </w:rPr>
        <w:t>2. պարենային հումքի և սննդամթերքի աղտոտումը բացառելու նպատակով՝ արտադրության տեխնոլոգիական գործառնությունների հաջորդականության և հոսքայնության ընտրությունը պետք է հապատասխանի ընտրված գործընթացներին,</w:t>
      </w:r>
    </w:p>
    <w:p w14:paraId="575DCAE2" w14:textId="39F3926B" w:rsidR="00EB2877" w:rsidRPr="00EB2877" w:rsidRDefault="00EB2877" w:rsidP="00EB2877">
      <w:pPr>
        <w:spacing w:line="360" w:lineRule="auto"/>
        <w:ind w:firstLine="720"/>
        <w:jc w:val="both"/>
        <w:rPr>
          <w:rFonts w:ascii="GHEA Grapalat" w:hAnsi="GHEA Grapalat"/>
        </w:rPr>
      </w:pPr>
      <w:r w:rsidRPr="00EB2877">
        <w:rPr>
          <w:rFonts w:ascii="GHEA Grapalat" w:hAnsi="GHEA Grapalat"/>
        </w:rPr>
        <w:t>3. տեխնոլոգիական գործառնությունների և սննդամթերքի արտադրության փուլերում արտադրական հսկողության ծրագրերը պետք է լինեն վերահսկելի</w:t>
      </w:r>
    </w:p>
    <w:p w14:paraId="76DCA6EF" w14:textId="1B5B2606" w:rsidR="00EB2877" w:rsidRPr="00EB2877" w:rsidRDefault="00EB2877" w:rsidP="00EB2877">
      <w:pPr>
        <w:spacing w:line="360" w:lineRule="auto"/>
        <w:ind w:firstLine="720"/>
        <w:jc w:val="both"/>
        <w:rPr>
          <w:rFonts w:ascii="GHEA Grapalat" w:hAnsi="GHEA Grapalat"/>
        </w:rPr>
      </w:pPr>
      <w:r w:rsidRPr="00EB2877">
        <w:rPr>
          <w:rFonts w:ascii="GHEA Grapalat" w:hAnsi="GHEA Grapalat"/>
        </w:rPr>
        <w:t>4. սննդամթերքի արտադրության ընթացքում օգտագործվող սննդային հումքի, տեխնոլոգիական միջոցների, փաթեթավորման նյութերի, արտադրատեսակի, ինչպես նաև սննդամթերքի նկատմամբ անհրաժեշտ համալիր հսկողությունը պետք է իրականացվի հուսալի միջոցներով,</w:t>
      </w:r>
    </w:p>
    <w:p w14:paraId="5003710C" w14:textId="12CE67CF" w:rsidR="00EB2877" w:rsidRPr="00EB2877" w:rsidRDefault="00EB2877" w:rsidP="00EB2877">
      <w:pPr>
        <w:spacing w:line="360" w:lineRule="auto"/>
        <w:ind w:firstLine="720"/>
        <w:jc w:val="both"/>
        <w:rPr>
          <w:rFonts w:ascii="GHEA Grapalat" w:hAnsi="GHEA Grapalat"/>
        </w:rPr>
      </w:pPr>
      <w:r w:rsidRPr="00EB2877">
        <w:rPr>
          <w:rFonts w:ascii="GHEA Grapalat" w:hAnsi="GHEA Grapalat"/>
        </w:rPr>
        <w:t>5. տեխնոլոգիական սարքավորումների սարքինության նկատմամբ հսկողությունը պետք է իրականացվի սննդամթերքի առանձին տեսակների վերաբերյալ տեխնիկական կանոնակարգերով սահմանված պահանջներին համապատասխան սննդամթերքի արտադրության գործընթացն ապահովող կարգով,</w:t>
      </w:r>
    </w:p>
    <w:p w14:paraId="4B647815" w14:textId="137137D5" w:rsidR="00EB2877" w:rsidRPr="00EB2877" w:rsidRDefault="00EB2877" w:rsidP="00EB2877">
      <w:pPr>
        <w:spacing w:line="360" w:lineRule="auto"/>
        <w:ind w:firstLine="720"/>
        <w:jc w:val="both"/>
        <w:rPr>
          <w:rFonts w:ascii="GHEA Grapalat" w:hAnsi="GHEA Grapalat"/>
        </w:rPr>
      </w:pPr>
      <w:r w:rsidRPr="00EB2877">
        <w:rPr>
          <w:rFonts w:ascii="GHEA Grapalat" w:hAnsi="GHEA Grapalat"/>
        </w:rPr>
        <w:t>6. պետք է ապահովվի տեխնոլոգիական գործառնությունների վերահսկելի փուլերի և սննդամթերքի նկատմամբ իրականացված հսկողության արդյունքների մասին տեղեկատվության փաստաթղթավորումը,</w:t>
      </w:r>
    </w:p>
    <w:p w14:paraId="685F9D89" w14:textId="77777777" w:rsidR="00EB2877" w:rsidRPr="00EB2877" w:rsidRDefault="00EB2877" w:rsidP="00EB2877">
      <w:pPr>
        <w:spacing w:line="360" w:lineRule="auto"/>
        <w:ind w:firstLine="720"/>
        <w:jc w:val="both"/>
        <w:rPr>
          <w:rFonts w:ascii="GHEA Grapalat" w:hAnsi="GHEA Grapalat"/>
        </w:rPr>
      </w:pPr>
      <w:r w:rsidRPr="00EB2877">
        <w:rPr>
          <w:rFonts w:ascii="GHEA Grapalat" w:hAnsi="GHEA Grapalat"/>
        </w:rPr>
        <w:t>7. պետք է պահպանվեն սննդամթերքի պահման և փոխադրման (տրանսպորտային փոխադրման) պայմանները,</w:t>
      </w:r>
    </w:p>
    <w:p w14:paraId="372B7DCB" w14:textId="77777777" w:rsidR="00EB2877" w:rsidRPr="00EB2877" w:rsidRDefault="00EB2877" w:rsidP="00EB2877">
      <w:pPr>
        <w:spacing w:line="360" w:lineRule="auto"/>
        <w:jc w:val="both"/>
        <w:rPr>
          <w:rFonts w:ascii="GHEA Grapalat" w:hAnsi="GHEA Grapalat"/>
        </w:rPr>
      </w:pPr>
    </w:p>
    <w:p w14:paraId="116E515F" w14:textId="072CD51D" w:rsidR="00EB2877" w:rsidRPr="00EB2877" w:rsidRDefault="00EB2877" w:rsidP="00933268">
      <w:pPr>
        <w:spacing w:line="360" w:lineRule="auto"/>
        <w:ind w:firstLine="720"/>
        <w:jc w:val="both"/>
        <w:rPr>
          <w:rFonts w:ascii="GHEA Grapalat" w:hAnsi="GHEA Grapalat"/>
        </w:rPr>
      </w:pPr>
      <w:r w:rsidRPr="00EB2877">
        <w:rPr>
          <w:rFonts w:ascii="GHEA Grapalat" w:hAnsi="GHEA Grapalat"/>
        </w:rPr>
        <w:lastRenderedPageBreak/>
        <w:t>8. սննդամթերքի արտադրության գործընթացում օգտագործվող արտադրական շինությունները, տեխնոլոգիական սարքավորումները և գույքը պետք է պահպանվեն սննդամթերքի աղտոտումը բացառող պայմաններում,</w:t>
      </w:r>
    </w:p>
    <w:p w14:paraId="05027A86" w14:textId="3F6C81A6" w:rsidR="00EB2877" w:rsidRPr="00EB2877" w:rsidRDefault="00EB2877" w:rsidP="00933268">
      <w:pPr>
        <w:spacing w:line="360" w:lineRule="auto"/>
        <w:ind w:firstLine="720"/>
        <w:jc w:val="both"/>
        <w:rPr>
          <w:rFonts w:ascii="GHEA Grapalat" w:hAnsi="GHEA Grapalat"/>
        </w:rPr>
      </w:pPr>
      <w:r w:rsidRPr="00EB2877">
        <w:rPr>
          <w:rFonts w:ascii="GHEA Grapalat" w:hAnsi="GHEA Grapalat"/>
        </w:rPr>
        <w:t>9. սննդամթերքի անվտանգության ապահովման նպատակով՝ աշխատողների կողմից պետք է ապահովվի անձնական հիգիենայի ձևերի ընտրությունը և դրանց կանոնների պահպանումը,</w:t>
      </w:r>
    </w:p>
    <w:p w14:paraId="1D7B5906" w14:textId="1D9D87B9" w:rsidR="00EB2877" w:rsidRPr="00EB2877" w:rsidRDefault="00EB2877" w:rsidP="00933268">
      <w:pPr>
        <w:spacing w:line="360" w:lineRule="auto"/>
        <w:ind w:firstLine="720"/>
        <w:jc w:val="both"/>
        <w:rPr>
          <w:rFonts w:ascii="GHEA Grapalat" w:hAnsi="GHEA Grapalat"/>
        </w:rPr>
      </w:pPr>
      <w:r w:rsidRPr="00EB2877">
        <w:rPr>
          <w:rFonts w:ascii="GHEA Grapalat" w:hAnsi="GHEA Grapalat"/>
        </w:rPr>
        <w:t>10. պետք է սահմանվեն սննդամթերքի անվտանգության ապահովման եղանակները, ինչպես նաև սննդամթերքի արտադրության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պարբերականությունը,</w:t>
      </w:r>
    </w:p>
    <w:p w14:paraId="136E3CC8" w14:textId="5DF8673D" w:rsidR="00EB2877" w:rsidRPr="00EB2877" w:rsidRDefault="00EB2877" w:rsidP="00933268">
      <w:pPr>
        <w:spacing w:line="360" w:lineRule="auto"/>
        <w:ind w:firstLine="720"/>
        <w:jc w:val="both"/>
        <w:rPr>
          <w:rFonts w:ascii="GHEA Grapalat" w:hAnsi="GHEA Grapalat"/>
        </w:rPr>
      </w:pPr>
      <w:r w:rsidRPr="00EB2877">
        <w:rPr>
          <w:rFonts w:ascii="GHEA Grapalat" w:hAnsi="GHEA Grapalat"/>
        </w:rPr>
        <w:t>11. պետք է ապահովվի տեխնիկական կանոնակարգերով սահմանված պահանջներով արտադրված սննդամթերքի համապատասխանությունը հավաստող փաստաթղթերի վարումը ու պահպանումը՝ թղթային կամ էլեկտրոնային կրիչներով,</w:t>
      </w:r>
    </w:p>
    <w:p w14:paraId="379D1A65" w14:textId="40B6950C" w:rsidR="00EB2877" w:rsidRPr="00EB2877" w:rsidRDefault="00EB2877" w:rsidP="00933268">
      <w:pPr>
        <w:spacing w:line="360" w:lineRule="auto"/>
        <w:ind w:firstLine="720"/>
        <w:jc w:val="both"/>
        <w:rPr>
          <w:rFonts w:ascii="GHEA Grapalat" w:hAnsi="GHEA Grapalat"/>
        </w:rPr>
      </w:pPr>
      <w:r w:rsidRPr="00EB2877">
        <w:rPr>
          <w:rFonts w:ascii="GHEA Grapalat" w:hAnsi="GHEA Grapalat"/>
        </w:rPr>
        <w:t>12. պետք է ապահովվի սննդամթերքի հետագծելիությունը։</w:t>
      </w:r>
    </w:p>
    <w:p w14:paraId="210A611F" w14:textId="77777777" w:rsidR="00EB2877" w:rsidRPr="00EB2877" w:rsidRDefault="00EB2877" w:rsidP="00933268">
      <w:pPr>
        <w:spacing w:line="360" w:lineRule="auto"/>
        <w:ind w:firstLine="720"/>
        <w:jc w:val="both"/>
        <w:rPr>
          <w:rFonts w:ascii="GHEA Grapalat" w:hAnsi="GHEA Grapalat"/>
        </w:rPr>
      </w:pPr>
      <w:r w:rsidRPr="00EB2877">
        <w:rPr>
          <w:rFonts w:ascii="GHEA Grapalat" w:hAnsi="GHEA Grapalat"/>
        </w:rPr>
        <w:t>Վտանգի վերլուծության և հսկման կրիտիկական կետերի համակարգի (ՎՎՀԿԿ - НАССР) վերաբերյալ առավել մանրամասն տեղեկություններ և խորհրդատվություն ստանալու համար կարող եք զանգահարել ՍԱՏՄ թեժ գծին 118 անվճար հեռախոսահամարով կամ Սննդամթերքի անվտանգության վարչություն 015-404040 (ներքին համարը՝ 141, 142, 143) հեռախոսահամարով:</w:t>
      </w:r>
    </w:p>
    <w:p w14:paraId="18D0D3C0" w14:textId="77777777" w:rsidR="005B5E52" w:rsidRPr="00EB2877" w:rsidRDefault="005B5E52" w:rsidP="00EB2877">
      <w:pPr>
        <w:spacing w:line="360" w:lineRule="auto"/>
        <w:jc w:val="both"/>
        <w:rPr>
          <w:rFonts w:ascii="GHEA Grapalat" w:hAnsi="GHEA Grapalat"/>
        </w:rPr>
      </w:pPr>
    </w:p>
    <w:sectPr w:rsidR="005B5E52" w:rsidRPr="00EB2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AD"/>
    <w:rsid w:val="0054412E"/>
    <w:rsid w:val="005737AD"/>
    <w:rsid w:val="005B5E52"/>
    <w:rsid w:val="00933268"/>
    <w:rsid w:val="00B35131"/>
    <w:rsid w:val="00C91047"/>
    <w:rsid w:val="00D46722"/>
    <w:rsid w:val="00EB2877"/>
    <w:rsid w:val="00F5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2ED8"/>
  <w15:chartTrackingRefBased/>
  <w15:docId w15:val="{64CAFEC7-2C6C-4D42-B108-6760467C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7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7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7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7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7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7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7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7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7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7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7AD"/>
    <w:rPr>
      <w:rFonts w:eastAsiaTheme="majorEastAsia" w:cstheme="majorBidi"/>
      <w:color w:val="272727" w:themeColor="text1" w:themeTint="D8"/>
    </w:rPr>
  </w:style>
  <w:style w:type="paragraph" w:styleId="Title">
    <w:name w:val="Title"/>
    <w:basedOn w:val="Normal"/>
    <w:next w:val="Normal"/>
    <w:link w:val="TitleChar"/>
    <w:uiPriority w:val="10"/>
    <w:qFormat/>
    <w:rsid w:val="00573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7AD"/>
    <w:pPr>
      <w:spacing w:before="160"/>
      <w:jc w:val="center"/>
    </w:pPr>
    <w:rPr>
      <w:i/>
      <w:iCs/>
      <w:color w:val="404040" w:themeColor="text1" w:themeTint="BF"/>
    </w:rPr>
  </w:style>
  <w:style w:type="character" w:customStyle="1" w:styleId="QuoteChar">
    <w:name w:val="Quote Char"/>
    <w:basedOn w:val="DefaultParagraphFont"/>
    <w:link w:val="Quote"/>
    <w:uiPriority w:val="29"/>
    <w:rsid w:val="005737AD"/>
    <w:rPr>
      <w:i/>
      <w:iCs/>
      <w:color w:val="404040" w:themeColor="text1" w:themeTint="BF"/>
    </w:rPr>
  </w:style>
  <w:style w:type="paragraph" w:styleId="ListParagraph">
    <w:name w:val="List Paragraph"/>
    <w:basedOn w:val="Normal"/>
    <w:uiPriority w:val="34"/>
    <w:qFormat/>
    <w:rsid w:val="005737AD"/>
    <w:pPr>
      <w:ind w:left="720"/>
      <w:contextualSpacing/>
    </w:pPr>
  </w:style>
  <w:style w:type="character" w:styleId="IntenseEmphasis">
    <w:name w:val="Intense Emphasis"/>
    <w:basedOn w:val="DefaultParagraphFont"/>
    <w:uiPriority w:val="21"/>
    <w:qFormat/>
    <w:rsid w:val="005737AD"/>
    <w:rPr>
      <w:i/>
      <w:iCs/>
      <w:color w:val="2F5496" w:themeColor="accent1" w:themeShade="BF"/>
    </w:rPr>
  </w:style>
  <w:style w:type="paragraph" w:styleId="IntenseQuote">
    <w:name w:val="Intense Quote"/>
    <w:basedOn w:val="Normal"/>
    <w:next w:val="Normal"/>
    <w:link w:val="IntenseQuoteChar"/>
    <w:uiPriority w:val="30"/>
    <w:qFormat/>
    <w:rsid w:val="00573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7AD"/>
    <w:rPr>
      <w:i/>
      <w:iCs/>
      <w:color w:val="2F5496" w:themeColor="accent1" w:themeShade="BF"/>
    </w:rPr>
  </w:style>
  <w:style w:type="character" w:styleId="IntenseReference">
    <w:name w:val="Intense Reference"/>
    <w:basedOn w:val="DefaultParagraphFont"/>
    <w:uiPriority w:val="32"/>
    <w:qFormat/>
    <w:rsid w:val="005737AD"/>
    <w:rPr>
      <w:b/>
      <w:bCs/>
      <w:smallCaps/>
      <w:color w:val="2F5496" w:themeColor="accent1" w:themeShade="BF"/>
      <w:spacing w:val="5"/>
    </w:rPr>
  </w:style>
  <w:style w:type="character" w:styleId="Hyperlink">
    <w:name w:val="Hyperlink"/>
    <w:basedOn w:val="DefaultParagraphFont"/>
    <w:uiPriority w:val="99"/>
    <w:unhideWhenUsed/>
    <w:rsid w:val="00D46722"/>
    <w:rPr>
      <w:color w:val="0563C1" w:themeColor="hyperlink"/>
      <w:u w:val="single"/>
    </w:rPr>
  </w:style>
  <w:style w:type="character" w:styleId="UnresolvedMention">
    <w:name w:val="Unresolved Mention"/>
    <w:basedOn w:val="DefaultParagraphFont"/>
    <w:uiPriority w:val="99"/>
    <w:semiHidden/>
    <w:unhideWhenUsed/>
    <w:rsid w:val="00D4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nund.am/hy/page/hazard-analysis-and-control-of-critical-points/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Yeghiazaryan</dc:creator>
  <cp:keywords/>
  <dc:description/>
  <cp:lastModifiedBy>SSFS</cp:lastModifiedBy>
  <cp:revision>5</cp:revision>
  <dcterms:created xsi:type="dcterms:W3CDTF">2025-10-10T06:22:00Z</dcterms:created>
  <dcterms:modified xsi:type="dcterms:W3CDTF">2025-10-14T07:52:00Z</dcterms:modified>
</cp:coreProperties>
</file>