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4CB92C08" w14:textId="5F896B77" w:rsidR="009F2106" w:rsidRPr="005A4A0A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proofErr w:type="spellEnd"/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5A4A0A" w:rsidRPr="005A4A0A">
        <w:rPr>
          <w:rFonts w:ascii="GHEA Grapalat" w:hAnsi="GHEA Grapalat"/>
          <w:b/>
          <w:lang w:val="hy-AM"/>
        </w:rPr>
        <w:t>Երևան-«Զվարթնոց» օդանավակայան սահմանային պետական վերահսկողության բաժնի գլխավոր տեսուչ (այսուհետ՝ Գլխավոր տեսուչ) (ծածկագիրը՝  70-26.17-Մ2-11)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6C14EB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բուսասանիտարական հսկման ենթակա ապրանքների ներմուծման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արտահանման, տարանցիկ փոխադրման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և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1040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Pr="00FF735D">
        <w:rPr>
          <w:rFonts w:ascii="GHEA Grapalat" w:hAnsi="GHEA Grapalat"/>
          <w:sz w:val="24"/>
          <w:szCs w:val="24"/>
          <w:lang w:val="hy-AM"/>
        </w:rPr>
        <w:t>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բուսասանիտարական հավաստագրի (դրա առկայության դեպքում) նմուշառման և տրանսպորտային (տեղափոխման) փաստաթղթի դրոշմակնքման, 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կարանտին բուսասանիտարական հսկողության (վերահսկողության) ակտի, արտահանման բուսասանիտարական հավաստագրի կազմման, կարգադրագրերի արձակման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աշխատանքները. </w:t>
      </w:r>
    </w:p>
    <w:p w14:paraId="50F5E899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>իրականացնում է ներմուծվող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բեռների ստուգման, դրանցում հայտնաբերված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օր</w:t>
      </w:r>
      <w:r w:rsidRPr="00FF735D">
        <w:rPr>
          <w:rFonts w:ascii="GHEA Grapalat" w:hAnsi="GHEA Grapalat"/>
          <w:sz w:val="24"/>
          <w:szCs w:val="24"/>
          <w:lang w:val="hy-AM"/>
        </w:rPr>
        <w:t>գ</w:t>
      </w:r>
      <w:r w:rsidRPr="00FF735D">
        <w:rPr>
          <w:rFonts w:ascii="GHEA Grapalat" w:hAnsi="GHEA Grapalat" w:cs="Sylfaen"/>
          <w:sz w:val="24"/>
          <w:szCs w:val="24"/>
          <w:lang w:val="hy-AM"/>
        </w:rPr>
        <w:t>անիզմների, վնասակար օրգանիզմների, կարգավորվող ոչ կարանտին վնասակար օրգանիզմների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7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 համապատասխան մարմիններին տեղեկացման աշխատանքները</w:t>
      </w:r>
      <w:r w:rsidRPr="00FF735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04E903D0" w14:textId="77777777" w:rsidR="005A4A0A" w:rsidRPr="00FF735D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անասնաբուժական հսկման ենթակա ապրանքների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 w:cs="Sylfaen"/>
          <w:sz w:val="24"/>
          <w:szCs w:val="24"/>
          <w:lang w:val="hy-AM"/>
        </w:rPr>
        <w:t>, մասնավորապես</w:t>
      </w:r>
      <w:r w:rsidRPr="00452E68">
        <w:rPr>
          <w:rFonts w:ascii="GHEA Grapalat" w:hAnsi="GHEA Grapalat" w:cs="Sylfaen"/>
          <w:sz w:val="24"/>
          <w:szCs w:val="24"/>
          <w:lang w:val="hy-AM"/>
        </w:rPr>
        <w:t>՝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նմուշառ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և ֆիզիկական </w:t>
      </w:r>
      <w:r>
        <w:rPr>
          <w:rFonts w:ascii="GHEA Grapalat" w:hAnsi="GHEA Grapalat"/>
          <w:sz w:val="24"/>
          <w:szCs w:val="24"/>
          <w:lang w:val="hy-AM"/>
        </w:rPr>
        <w:t>ստուգազնն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՝ կենդանիների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տեղափոխման (փոխադրման) պայմանների և ռեժիմի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համապատասխանությ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ստուգման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ինչպես նաև իրականացված հսկողական միջոցառումների հիման վրա համապատասխան որոշումների </w:t>
      </w:r>
      <w:r>
        <w:rPr>
          <w:rFonts w:ascii="GHEA Grapalat" w:hAnsi="GHEA Grapalat"/>
          <w:sz w:val="24"/>
          <w:szCs w:val="24"/>
          <w:lang w:val="hy-AM"/>
        </w:rPr>
        <w:t>ընդուն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A43E7F3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սննդամթերքի հետ անմիջական շփման մեջ գտնվող նյութերի,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արտահանման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 w:cs="Sylfaen"/>
          <w:sz w:val="24"/>
          <w:szCs w:val="24"/>
          <w:lang w:val="hy-AM"/>
        </w:rPr>
        <w:t>տարանցիկ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0B5197">
        <w:rPr>
          <w:rFonts w:ascii="GHEA Grapalat" w:hAnsi="GHEA Grapalat" w:cs="Sylfaen"/>
          <w:sz w:val="24"/>
          <w:szCs w:val="24"/>
          <w:lang w:val="hy-AM"/>
        </w:rPr>
        <w:t>ործընթացների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197">
        <w:rPr>
          <w:rFonts w:ascii="GHEA Grapalat" w:hAnsi="GHEA Grapalat" w:cs="Sylfaen"/>
          <w:sz w:val="24"/>
          <w:szCs w:val="24"/>
          <w:lang w:val="hy-AM"/>
        </w:rPr>
        <w:t xml:space="preserve">նկատմամբ վերահսկողության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B5197">
        <w:rPr>
          <w:rFonts w:ascii="GHEA Grapalat" w:hAnsi="GHEA Grapalat"/>
          <w:sz w:val="24"/>
          <w:szCs w:val="24"/>
          <w:lang w:val="hy-AM"/>
        </w:rPr>
        <w:t>,</w:t>
      </w:r>
      <w:r w:rsidRPr="00452E68">
        <w:rPr>
          <w:rFonts w:ascii="GHEA Grapalat" w:hAnsi="GHEA Grapalat"/>
          <w:sz w:val="24"/>
          <w:szCs w:val="24"/>
          <w:lang w:val="hy-AM"/>
        </w:rPr>
        <w:t xml:space="preserve"> մասնավորապես՝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 անվտանգությունը հիմնավորող ուղեկցող փաստաթղթերի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դրոշմակնք</w:t>
      </w:r>
      <w:r w:rsidRPr="00452E68">
        <w:rPr>
          <w:rFonts w:ascii="GHEA Grapalat" w:hAnsi="GHEA Grapalat"/>
          <w:sz w:val="24"/>
          <w:szCs w:val="24"/>
          <w:lang w:val="hy-AM"/>
        </w:rPr>
        <w:t>ման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5197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կարգադրագրերի </w:t>
      </w:r>
      <w:r>
        <w:rPr>
          <w:rFonts w:ascii="GHEA Grapalat" w:hAnsi="GHEA Grapalat"/>
          <w:sz w:val="24"/>
          <w:szCs w:val="24"/>
          <w:lang w:val="hy-AM"/>
        </w:rPr>
        <w:t>կազմ</w:t>
      </w:r>
      <w:r w:rsidRPr="00452E68">
        <w:rPr>
          <w:rFonts w:ascii="GHEA Grapalat" w:hAnsi="GHEA Grapalat"/>
          <w:sz w:val="24"/>
          <w:szCs w:val="24"/>
          <w:lang w:val="hy-AM"/>
        </w:rPr>
        <w:t>մա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փաստաթղթային </w:t>
      </w:r>
      <w:r>
        <w:rPr>
          <w:rFonts w:ascii="GHEA Grapalat" w:hAnsi="GHEA Grapalat"/>
          <w:sz w:val="24"/>
          <w:szCs w:val="24"/>
          <w:lang w:val="hy-AM"/>
        </w:rPr>
        <w:t>ստուգ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զնն</w:t>
      </w:r>
      <w:r w:rsidRPr="000B5197">
        <w:rPr>
          <w:rFonts w:ascii="GHEA Grapalat" w:hAnsi="GHEA Grapalat"/>
          <w:sz w:val="24"/>
          <w:szCs w:val="24"/>
          <w:lang w:val="hy-AM"/>
        </w:rPr>
        <w:t>մ</w:t>
      </w:r>
      <w:r w:rsidRPr="00452E68">
        <w:rPr>
          <w:rFonts w:ascii="GHEA Grapalat" w:hAnsi="GHEA Grapalat"/>
          <w:sz w:val="24"/>
          <w:szCs w:val="24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(կամ)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նմուշառ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տարանցիկ փոխադրման թույլտվության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Pr="000B5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52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աշխատանքներ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F735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A26479F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կասեցման կամ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996596E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պեստիցիդների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ագրոքիմիկատների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ներմուծման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27F1B36B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արտահանման արգելման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14:paraId="7E7CDD45" w14:textId="77777777" w:rsidR="005A4A0A" w:rsidRPr="00833A63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անասնաբուժական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բուսասանիտարական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հսկման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տարանցիկ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33A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փոխադրման աշխատանքները</w:t>
      </w:r>
      <w:r w:rsidRPr="00833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7419243" w14:textId="77777777" w:rsidR="005A4A0A" w:rsidRPr="000A2E7F" w:rsidRDefault="005A4A0A" w:rsidP="005A4A0A">
      <w:pPr>
        <w:pStyle w:val="ListParagraph"/>
        <w:numPr>
          <w:ilvl w:val="0"/>
          <w:numId w:val="29"/>
        </w:numPr>
        <w:tabs>
          <w:tab w:val="left" w:pos="-3600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735D">
        <w:rPr>
          <w:rFonts w:ascii="GHEA Grapalat" w:hAnsi="GHEA Grapalat"/>
          <w:sz w:val="24"/>
          <w:szCs w:val="24"/>
          <w:lang w:val="hy-AM"/>
        </w:rPr>
        <w:t>մասնակցում է Տեսչական մարմնի կողմից վարվող էլեկտրոնային տեղեկատվական բազաների վարման աշխատանքներին.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Pr="005A4A0A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A4A0A">
        <w:rPr>
          <w:rFonts w:ascii="GHEA Grapalat" w:hAnsi="GHEA Grapalat" w:cs="Sylfaen"/>
          <w:b/>
          <w:sz w:val="24"/>
          <w:szCs w:val="24"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5A4A0A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5A4A0A">
        <w:rPr>
          <w:rFonts w:ascii="GHEA Grapalat" w:hAnsi="GHEA Grapalat" w:cs="Sylfaen"/>
          <w:sz w:val="24"/>
          <w:szCs w:val="24"/>
          <w:lang w:val="hy-AM"/>
        </w:rPr>
        <w:t>բարձրագույն կրթություն՝ ներքոհիշյալ մասնագիտություններ գծով</w:t>
      </w:r>
      <w:r w:rsidR="001F66AC" w:rsidRPr="005A4A0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481"/>
        <w:gridCol w:w="2118"/>
        <w:gridCol w:w="3343"/>
        <w:gridCol w:w="3745"/>
      </w:tblGrid>
      <w:tr w:rsidR="005A4A0A" w:rsidRPr="007B14ED" w14:paraId="3E039A66" w14:textId="77777777" w:rsidTr="00AB01E1">
        <w:trPr>
          <w:trHeight w:val="6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1EB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53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8EC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06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5FFF521D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 xml:space="preserve">Կամ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1848"/>
        <w:gridCol w:w="3402"/>
        <w:gridCol w:w="3709"/>
      </w:tblGrid>
      <w:tr w:rsidR="005A4A0A" w:rsidRPr="00216B9A" w14:paraId="29A9D52C" w14:textId="77777777" w:rsidTr="00AB01E1">
        <w:trPr>
          <w:trHeight w:val="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92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4A7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4F8D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C2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</w:tbl>
    <w:p w14:paraId="566B0808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624"/>
        <w:gridCol w:w="3152"/>
        <w:gridCol w:w="3153"/>
      </w:tblGrid>
      <w:tr w:rsidR="005A4A0A" w:rsidRPr="00216B9A" w14:paraId="40E57E7B" w14:textId="77777777" w:rsidTr="00AB01E1">
        <w:trPr>
          <w:trHeight w:val="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321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FC3A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4D8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24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</w:tr>
      <w:tr w:rsidR="005A4A0A" w:rsidRPr="00216B9A" w14:paraId="0D589938" w14:textId="77777777" w:rsidTr="00AB01E1">
        <w:trPr>
          <w:trHeight w:val="5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DE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C8D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35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1BB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</w:t>
            </w:r>
          </w:p>
        </w:tc>
      </w:tr>
      <w:tr w:rsidR="005A4A0A" w:rsidRPr="00216B9A" w14:paraId="3BA719BB" w14:textId="77777777" w:rsidTr="00AB01E1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B5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6CE0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868C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Առարկայական ուղղվածությամբ մանկավարժություն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309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492DF59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</w:p>
    <w:p w14:paraId="618F06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  <w:r w:rsidRPr="00AB2E91">
        <w:rPr>
          <w:rFonts w:ascii="GHEA Grapalat" w:hAnsi="GHEA Grapalat" w:cs="Sylfaen"/>
          <w:i/>
          <w:lang w:val="hy-AM"/>
        </w:rPr>
        <w:lastRenderedPageBreak/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775"/>
        <w:gridCol w:w="2835"/>
        <w:gridCol w:w="2209"/>
        <w:gridCol w:w="2209"/>
      </w:tblGrid>
      <w:tr w:rsidR="005A4A0A" w:rsidRPr="00216B9A" w14:paraId="177F3912" w14:textId="77777777" w:rsidTr="00AB01E1">
        <w:trPr>
          <w:trHeight w:val="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D9B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97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2D1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5F74324A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369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BA5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0AC5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964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</w:t>
            </w:r>
          </w:p>
        </w:tc>
      </w:tr>
      <w:tr w:rsidR="005A4A0A" w:rsidRPr="00216B9A" w14:paraId="2DAF1C2B" w14:textId="77777777" w:rsidTr="00AB01E1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D3C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</w:t>
            </w:r>
            <w:r>
              <w:rPr>
                <w:rFonts w:ascii="Cambria Math" w:hAnsi="Cambria Math" w:cs="Cambria Math"/>
                <w:iCs/>
                <w:lang w:val="hy-AM"/>
              </w:rPr>
              <w:t>․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CF0" w14:textId="77777777" w:rsidR="005A4A0A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81F" w14:textId="77777777" w:rsidR="005A4A0A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B4C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Քիմիական տեխնոլոգիա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5AE0" w14:textId="77777777" w:rsidR="005A4A0A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Շրջակա միջավայրի պահպանություն</w:t>
            </w:r>
          </w:p>
        </w:tc>
      </w:tr>
    </w:tbl>
    <w:p w14:paraId="54134D9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524"/>
        <w:gridCol w:w="1737"/>
        <w:gridCol w:w="2202"/>
        <w:gridCol w:w="2925"/>
        <w:gridCol w:w="2301"/>
      </w:tblGrid>
      <w:tr w:rsidR="005A4A0A" w:rsidRPr="007B14ED" w14:paraId="65DCFAD8" w14:textId="77777777" w:rsidTr="00AB01E1">
        <w:trPr>
          <w:trHeight w:val="7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62D7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826F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C3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07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6FE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</w:tr>
    </w:tbl>
    <w:p w14:paraId="699011F3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570D7D2E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  <w:r w:rsidRPr="00AB2E91"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470"/>
        <w:gridCol w:w="1539"/>
        <w:gridCol w:w="2386"/>
        <w:gridCol w:w="2457"/>
        <w:gridCol w:w="2835"/>
      </w:tblGrid>
      <w:tr w:rsidR="005A4A0A" w:rsidRPr="00216B9A" w14:paraId="1AF4B6F0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8C0" w14:textId="77777777" w:rsidR="005A4A0A" w:rsidRPr="00AB2E91" w:rsidRDefault="005A4A0A" w:rsidP="00AB01E1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1</w:t>
            </w:r>
            <w:r w:rsidRPr="00AB2E91">
              <w:rPr>
                <w:rFonts w:ascii="MS Mincho" w:eastAsia="MS Mincho" w:hAnsi="MS Mincho" w:cs="MS Mincho"/>
                <w:iCs/>
                <w:lang w:val="hy-AM"/>
              </w:rPr>
              <w:t>․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BD3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51D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CAC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996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5A4A0A" w:rsidRPr="00216B9A" w14:paraId="46DF2C9B" w14:textId="77777777" w:rsidTr="00AB01E1">
        <w:trPr>
          <w:trHeight w:val="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7B1" w14:textId="77777777" w:rsidR="005A4A0A" w:rsidRPr="00AB2E91" w:rsidRDefault="005A4A0A" w:rsidP="00AB01E1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51C" w14:textId="77777777" w:rsidR="005A4A0A" w:rsidRPr="00AB2E91" w:rsidRDefault="005A4A0A" w:rsidP="00AB01E1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BC5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44A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 xml:space="preserve">Առողջապահություն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7B2" w14:textId="77777777" w:rsidR="005A4A0A" w:rsidRPr="00AB2E91" w:rsidRDefault="005A4A0A" w:rsidP="00AB01E1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 w:rsidRPr="00AB2E91"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</w:tr>
    </w:tbl>
    <w:p w14:paraId="7ABEFED6" w14:textId="77777777" w:rsidR="005A4A0A" w:rsidRPr="00AB2E91" w:rsidRDefault="005A4A0A" w:rsidP="005A4A0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AB2E91"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5A47CD34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>Սահմանադրության, «Քաղաքացիական ծառայության մասին», «Սննդամթերքի անվտանգության պետական վերահսկողության մասին»,</w:t>
      </w:r>
      <w:r w:rsidR="00DB0AEC">
        <w:rPr>
          <w:rFonts w:ascii="GHEA Grapalat" w:hAnsi="GHEA Grapalat"/>
          <w:lang w:val="hy-AM"/>
        </w:rPr>
        <w:t xml:space="preserve"> </w:t>
      </w:r>
      <w:r w:rsidR="00DB0AEC" w:rsidRPr="00C35D31">
        <w:rPr>
          <w:rFonts w:ascii="GHEA Grapalat" w:hAnsi="GHEA Grapalat"/>
          <w:lang w:val="hy-AM"/>
        </w:rPr>
        <w:t>«Սննդամթերքի անվտանգության մասին»</w:t>
      </w:r>
      <w:r w:rsidR="00DB0AEC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 xml:space="preserve">ՀՀ օրենքների,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2013 թվականի փետրվարի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</w:t>
      </w:r>
      <w:r w:rsidR="00DB0AEC" w:rsidRPr="00F6275E">
        <w:rPr>
          <w:rFonts w:ascii="GHEA Grapalat" w:hAnsi="GHEA Grapalat"/>
          <w:lang w:val="hy-AM"/>
        </w:rPr>
        <w:t>Հայաստանի Հանրապետություն ներմուծվող</w:t>
      </w:r>
      <w:r w:rsidR="00DB0AEC" w:rsidRPr="00F6275E">
        <w:rPr>
          <w:rFonts w:cs="Calibri"/>
          <w:lang w:val="hy-AM"/>
        </w:rPr>
        <w:t> </w:t>
      </w:r>
      <w:r w:rsidR="00DB0AEC" w:rsidRPr="00F6275E">
        <w:rPr>
          <w:rFonts w:ascii="GHEA Grapalat" w:hAnsi="GHEA Grapalat"/>
          <w:lang w:val="hy-AM"/>
        </w:rPr>
        <w:t>սննդամթերքի ռիսկայնության հիման վրա հսկողության մեթոդաբանությունը հաստատելու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218-Ն</w:t>
      </w:r>
      <w:r w:rsidR="00DB0AEC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Հայաստանի Հանրաետության վարչա</w:t>
      </w:r>
      <w:r w:rsidRPr="00F6275E">
        <w:rPr>
          <w:rFonts w:ascii="GHEA Grapalat" w:hAnsi="GHEA Grapalat"/>
          <w:lang w:val="hy-AM"/>
        </w:rPr>
        <w:t xml:space="preserve">պետի 2019 թվականի դեկտեմբերի 19-ի </w:t>
      </w:r>
      <w:r w:rsidRPr="00F6275E">
        <w:rPr>
          <w:rFonts w:cs="Calibri"/>
          <w:lang w:val="hy-AM"/>
        </w:rPr>
        <w:t> </w:t>
      </w:r>
      <w:r w:rsidRPr="00F6275E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DB0AEC" w:rsidRPr="00F6275E">
        <w:rPr>
          <w:rFonts w:ascii="GHEA Grapalat" w:hAnsi="GHEA Grapalat"/>
          <w:lang w:val="hy-AM"/>
        </w:rPr>
        <w:t xml:space="preserve">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«Ս</w:t>
      </w:r>
      <w:r w:rsidR="00DB0AEC" w:rsidRPr="00F6275E">
        <w:rPr>
          <w:rFonts w:ascii="GHEA Grapalat" w:hAnsi="GHEA Grapalat"/>
          <w:lang w:val="hy-AM"/>
        </w:rPr>
        <w:t>ննդամթերքի, սննդամթերքի հետ անմիջական շփման մեջ գտնվող նյութերի ներմուծման, արտահանման և տարանցիկ փոխադրման, ինչպես նաեվ անասնաբուժական հսկողության (վերահսկողության) ենթակա ապրանքների (արտադրանքի) արտահանման կարգը սահմանելու, Հայաստանի Հանրապետության կառավարության 2004 թվականի օգոստոսի 19-ի N 1228-Ն և 2005 թվականի նոյեմբերի 9-ի N 1901-Ն որոշումներն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 xml:space="preserve">N 1442-Ն, </w:t>
      </w:r>
      <w:r w:rsidR="00DB0AEC" w:rsidRPr="00DB0AEC">
        <w:rPr>
          <w:rFonts w:ascii="GHEA Grapalat" w:hAnsi="GHEA Grapalat"/>
          <w:lang w:val="hy-AM"/>
        </w:rPr>
        <w:t xml:space="preserve">Հայաստանի Հանրապետության կառավարության 2010 թվականի հոկտեմբերի 21-ի </w:t>
      </w:r>
      <w:r w:rsidR="00DB0AEC" w:rsidRPr="00F6275E">
        <w:rPr>
          <w:rFonts w:cs="Calibri"/>
          <w:lang w:val="hy-AM"/>
        </w:rPr>
        <w:t> </w:t>
      </w:r>
      <w:r w:rsidR="00DB0AEC" w:rsidRPr="00DB0AEC">
        <w:rPr>
          <w:rFonts w:ascii="GHEA Grapalat" w:hAnsi="GHEA Grapalat"/>
          <w:lang w:val="hy-AM"/>
        </w:rPr>
        <w:t>«Կ</w:t>
      </w:r>
      <w:r w:rsidR="00DB0AEC" w:rsidRPr="00F6275E">
        <w:rPr>
          <w:rFonts w:ascii="GHEA Grapalat" w:hAnsi="GHEA Grapalat"/>
          <w:lang w:val="hy-AM"/>
        </w:rPr>
        <w:t xml:space="preserve">ենդանիների, կենդանական ծագում ունեցող մթերքի, հումքի, կերերի, լրացակերերի, կերային խառնուրդների, կերային հավելումների, սննդամթերքի, սննդամթերքի հետ շփվող նյութերի և սննդային ու կենսաբանական ակտիվ հավելումների ներմուծման, արտահանման, հանրապետության տարածքում փոխադրման համար անասնաբուժական ուղեկցող փաստաթղթեր, անվտանգության սերտիֆիկատներ և համապատասխանության տեղեկանք տալու կարգը, անասնաբուժական ուղեկցող փաստաթղթերի, անվտանգության սերտիֆիկատների և համապատասխանության տեղեկանքի ձևերը հաստատելու և Հայաստանի </w:t>
      </w:r>
      <w:r w:rsidR="00DB0AEC" w:rsidRPr="00F6275E">
        <w:rPr>
          <w:rFonts w:ascii="GHEA Grapalat" w:hAnsi="GHEA Grapalat"/>
          <w:lang w:val="hy-AM"/>
        </w:rPr>
        <w:lastRenderedPageBreak/>
        <w:t>Հանրապետության կառավարության 2005 թվականի օգոստոսի 4-ի N 1241-Ն որոշումն ուժը կորցրած ճանաչելու մասին</w:t>
      </w:r>
      <w:r w:rsidR="00DB0AEC" w:rsidRPr="00DB0AEC">
        <w:rPr>
          <w:rFonts w:ascii="GHEA Grapalat" w:hAnsi="GHEA Grapalat"/>
          <w:lang w:val="hy-AM"/>
        </w:rPr>
        <w:t xml:space="preserve">» </w:t>
      </w:r>
      <w:r w:rsidR="00DB0AEC" w:rsidRPr="00F6275E">
        <w:rPr>
          <w:rFonts w:ascii="GHEA Grapalat" w:hAnsi="GHEA Grapalat"/>
          <w:lang w:val="hy-AM"/>
        </w:rPr>
        <w:t>N 1499-Ն</w:t>
      </w:r>
      <w:r w:rsidRPr="00F6275E">
        <w:rPr>
          <w:rFonts w:ascii="GHEA Grapalat" w:hAnsi="GHEA Grapalat"/>
          <w:lang w:val="hy-AM"/>
        </w:rPr>
        <w:t xml:space="preserve"> </w:t>
      </w:r>
      <w:r w:rsidRPr="00C35D31">
        <w:rPr>
          <w:rFonts w:ascii="GHEA Grapalat" w:hAnsi="GHEA Grapalat"/>
          <w:lang w:val="hy-AM"/>
        </w:rPr>
        <w:t>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28AB94CB" w14:textId="77777777" w:rsidR="00DB0AEC" w:rsidRDefault="00DB0AE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B2E91">
        <w:rPr>
          <w:rFonts w:ascii="GHEA Grapalat" w:hAnsi="GHEA Grapalat" w:cs="Sylfaen"/>
          <w:lang w:val="hy-AM"/>
        </w:rPr>
        <w:t>Հանրային ծառայության առնվազն երկու տարվա ստաժ կամ երեք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</w:t>
      </w:r>
    </w:p>
    <w:p w14:paraId="597AB5F2" w14:textId="7D1EFBB7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39A6D4C8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DB0AEC">
        <w:rPr>
          <w:rFonts w:ascii="GHEA Grapalat" w:hAnsi="GHEA Grapalat" w:cs="Sylfaen"/>
          <w:lang w:val="hy-AM"/>
        </w:rPr>
        <w:t xml:space="preserve"> և </w:t>
      </w:r>
      <w:r w:rsidR="00F6275E">
        <w:rPr>
          <w:rFonts w:ascii="GHEA Grapalat" w:hAnsi="GHEA Grapalat" w:cs="Sylfaen"/>
          <w:lang w:val="hy-AM"/>
        </w:rPr>
        <w:t>հարցազրույց</w:t>
      </w:r>
      <w:r w:rsidR="00DB0AEC">
        <w:rPr>
          <w:rFonts w:ascii="GHEA Grapalat" w:hAnsi="GHEA Grapalat" w:cs="Sylfaen"/>
          <w:lang w:val="hy-AM"/>
        </w:rPr>
        <w:t>.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791C8B9A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հեռ. </w:t>
      </w:r>
      <w:r w:rsidR="007D2F15" w:rsidRPr="006A7D15">
        <w:rPr>
          <w:rFonts w:ascii="GHEA Grapalat" w:hAnsi="GHEA Grapalat"/>
          <w:b/>
          <w:lang w:val="hy-AM"/>
        </w:rPr>
        <w:t>01</w:t>
      </w:r>
      <w:r w:rsidR="00DB0AEC">
        <w:rPr>
          <w:rFonts w:ascii="GHEA Grapalat" w:hAnsi="GHEA Grapalat"/>
          <w:b/>
          <w:lang w:val="hy-AM"/>
        </w:rPr>
        <w:t>5</w:t>
      </w:r>
      <w:r w:rsidR="007D2F15" w:rsidRPr="006A7D15">
        <w:rPr>
          <w:rFonts w:ascii="GHEA Grapalat" w:hAnsi="GHEA Grapalat"/>
          <w:b/>
          <w:lang w:val="hy-AM"/>
        </w:rPr>
        <w:t>404040 (</w:t>
      </w:r>
      <w:r w:rsidR="00DB0AEC">
        <w:rPr>
          <w:rFonts w:ascii="GHEA Grapalat" w:hAnsi="GHEA Grapalat"/>
          <w:b/>
          <w:lang w:val="hy-AM"/>
        </w:rPr>
        <w:t>186</w:t>
      </w:r>
      <w:r w:rsidR="007D2F15" w:rsidRPr="006A7D15">
        <w:rPr>
          <w:rFonts w:ascii="GHEA Grapalat" w:hAnsi="GHEA Grapalat"/>
          <w:b/>
          <w:lang w:val="hy-AM"/>
        </w:rPr>
        <w:t>)</w:t>
      </w:r>
      <w:r w:rsidRPr="006A7D15">
        <w:rPr>
          <w:rFonts w:ascii="GHEA Grapalat" w:hAnsi="GHEA Grapalat"/>
          <w:b/>
          <w:lang w:val="hy-AM"/>
        </w:rPr>
        <w:t>/:</w:t>
      </w:r>
    </w:p>
    <w:p w14:paraId="2F1978B2" w14:textId="50263799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1F66AC" w:rsidRPr="009E3A06">
        <w:rPr>
          <w:rFonts w:ascii="GHEA Grapalat" w:hAnsi="GHEA Grapalat"/>
          <w:b/>
          <w:lang w:val="hy-AM"/>
        </w:rPr>
        <w:t>է՝</w:t>
      </w:r>
      <w:r w:rsidRPr="009E3A06">
        <w:rPr>
          <w:rFonts w:ascii="GHEA Grapalat" w:hAnsi="GHEA Grapalat"/>
          <w:b/>
          <w:lang w:val="hy-AM"/>
        </w:rPr>
        <w:t xml:space="preserve">   </w:t>
      </w:r>
      <w:r w:rsidR="009E3A06" w:rsidRPr="009E3A06">
        <w:rPr>
          <w:rFonts w:ascii="GHEA Grapalat" w:hAnsi="GHEA Grapalat"/>
          <w:b/>
          <w:lang w:val="hy-AM"/>
        </w:rPr>
        <w:t>23.10</w:t>
      </w:r>
      <w:r w:rsidR="006A7D15" w:rsidRPr="009E3A06">
        <w:rPr>
          <w:rFonts w:ascii="GHEA Grapalat" w:hAnsi="GHEA Grapalat"/>
          <w:b/>
          <w:lang w:val="hy-AM"/>
        </w:rPr>
        <w:t>.2023</w:t>
      </w:r>
      <w:r w:rsidRPr="009E3A06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A0B25"/>
    <w:multiLevelType w:val="hybridMultilevel"/>
    <w:tmpl w:val="71F0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26"/>
  </w:num>
  <w:num w:numId="13">
    <w:abstractNumId w:val="4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24"/>
  </w:num>
  <w:num w:numId="20">
    <w:abstractNumId w:val="6"/>
  </w:num>
  <w:num w:numId="21">
    <w:abstractNumId w:val="5"/>
  </w:num>
  <w:num w:numId="22">
    <w:abstractNumId w:val="1"/>
  </w:num>
  <w:num w:numId="23">
    <w:abstractNumId w:val="23"/>
  </w:num>
  <w:num w:numId="24">
    <w:abstractNumId w:val="10"/>
  </w:num>
  <w:num w:numId="25">
    <w:abstractNumId w:val="27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1233E"/>
    <w:rsid w:val="00520F56"/>
    <w:rsid w:val="005A4A0A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14ED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E3A06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7AFC"/>
    <w:rsid w:val="00C35D31"/>
    <w:rsid w:val="00C43D65"/>
    <w:rsid w:val="00C45948"/>
    <w:rsid w:val="00C56323"/>
    <w:rsid w:val="00C6431A"/>
    <w:rsid w:val="00C85E4F"/>
    <w:rsid w:val="00CB18AB"/>
    <w:rsid w:val="00CD0845"/>
    <w:rsid w:val="00CD1C1D"/>
    <w:rsid w:val="00CD644A"/>
    <w:rsid w:val="00CF6EBC"/>
    <w:rsid w:val="00D84A7C"/>
    <w:rsid w:val="00DA5EEE"/>
    <w:rsid w:val="00DB0AEC"/>
    <w:rsid w:val="00DB39DD"/>
    <w:rsid w:val="00E01580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6275E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https:/mul2-fsss.gov.am/tasks/581311/oneclick/4254ce5f1ecc28ff1e64e48898ed377ca9e60620879c124e2c49bab6a1f8f64c.docx?token=4c638285f72d37d51c1a2675a783632e</cp:keywords>
  <cp:lastModifiedBy>User</cp:lastModifiedBy>
  <cp:revision>2</cp:revision>
  <cp:lastPrinted>2018-07-27T10:58:00Z</cp:lastPrinted>
  <dcterms:created xsi:type="dcterms:W3CDTF">2023-10-18T10:57:00Z</dcterms:created>
  <dcterms:modified xsi:type="dcterms:W3CDTF">2023-10-18T10:57:00Z</dcterms:modified>
</cp:coreProperties>
</file>