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E373" w14:textId="77777777" w:rsidR="00DA5149" w:rsidRPr="00981A65" w:rsidRDefault="00B055F1" w:rsidP="00C659F2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proofErr w:type="spellStart"/>
      <w:r>
        <w:rPr>
          <w:rFonts w:ascii="GHEA Grapalat" w:eastAsia="Times New Roman" w:hAnsi="GHEA Grapalat" w:cs="Sylfaen"/>
          <w:sz w:val="16"/>
          <w:szCs w:val="16"/>
        </w:rPr>
        <w:t>Հավելված</w:t>
      </w:r>
      <w:proofErr w:type="spellEnd"/>
      <w:r>
        <w:rPr>
          <w:rFonts w:ascii="GHEA Grapalat" w:eastAsia="Times New Roman" w:hAnsi="GHEA Grapalat" w:cs="Sylfaen"/>
          <w:sz w:val="16"/>
          <w:szCs w:val="16"/>
        </w:rPr>
        <w:t xml:space="preserve"> N 30</w:t>
      </w:r>
      <w:r w:rsidR="00DA5149" w:rsidRPr="00981A65"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14:paraId="011C8BE0" w14:textId="77777777"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 w:rsidRPr="00981A65">
        <w:rPr>
          <w:rFonts w:ascii="GHEA Grapalat" w:eastAsia="Times New Roman" w:hAnsi="GHEA Grapalat" w:cs="Sylfaen"/>
          <w:sz w:val="16"/>
          <w:szCs w:val="16"/>
        </w:rPr>
        <w:t>Հաստատված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81A65">
        <w:rPr>
          <w:rFonts w:ascii="GHEA Grapalat" w:eastAsia="Times New Roman" w:hAnsi="GHEA Grapalat" w:cs="Sylfaen"/>
          <w:sz w:val="16"/>
          <w:szCs w:val="16"/>
        </w:rPr>
        <w:t>է</w:t>
      </w:r>
    </w:p>
    <w:p w14:paraId="3F2EB35E" w14:textId="77777777"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Հայաստանի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81A65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անրապետության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սննդամթերքի</w:t>
      </w:r>
      <w:proofErr w:type="spellEnd"/>
    </w:p>
    <w:p w14:paraId="7DA3F051" w14:textId="77777777"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անվտանգության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տեսչական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մարմնի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81A65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14:paraId="1547508F" w14:textId="77777777" w:rsidR="007309D2" w:rsidRDefault="00B055F1" w:rsidP="007309D2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proofErr w:type="spellStart"/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proofErr w:type="spellEnd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proofErr w:type="gramStart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proofErr w:type="gramEnd"/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7309D2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հրամանով</w:t>
      </w:r>
    </w:p>
    <w:p w14:paraId="6BEA3E9C" w14:textId="77777777" w:rsidR="00D45F52" w:rsidRPr="007309D2" w:rsidRDefault="00D45F52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470DD83" w14:textId="77777777" w:rsidR="00113C7C" w:rsidRPr="00981A65" w:rsidRDefault="00113C7C" w:rsidP="00C659F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309D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14:paraId="48EEA15D" w14:textId="77777777" w:rsidR="00DA5149" w:rsidRPr="00981A65" w:rsidRDefault="00DA5149" w:rsidP="00C659F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5B13E29" w14:textId="77777777" w:rsidR="00113C7C" w:rsidRPr="00981A65" w:rsidRDefault="00C61C6B" w:rsidP="00CD4B3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164C43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</w:t>
      </w:r>
      <w:r w:rsidR="00DC29D8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ԿԱՆ</w:t>
      </w:r>
      <w:r w:rsidR="00164C43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ԱՋԱԿՑՈՒԹՅԱՆ ԵՎ ՓԱՍՏԱԹՂԹԱՇՐՋԱՆԱՌՈՒԹՅԱՆ</w:t>
      </w:r>
      <w:r w:rsidR="008C7304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ՎԱՐՉՈՒԹՅԱՆ ՊԵՏ</w:t>
      </w:r>
    </w:p>
    <w:p w14:paraId="7BAA6868" w14:textId="77777777" w:rsidR="00113C7C" w:rsidRPr="00981A65" w:rsidRDefault="00113C7C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37462DA" w14:textId="77777777" w:rsidR="00113C7C" w:rsidRPr="00981A65" w:rsidRDefault="00113C7C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5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</w:tblGrid>
      <w:tr w:rsidR="00981A65" w:rsidRPr="00981A65" w14:paraId="507A46A0" w14:textId="77777777" w:rsidTr="00ED6921">
        <w:trPr>
          <w:trHeight w:val="31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135D0" w14:textId="77777777" w:rsidR="003C5E15" w:rsidRPr="00981A65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81A6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  <w:proofErr w:type="spellEnd"/>
          </w:p>
        </w:tc>
      </w:tr>
      <w:tr w:rsidR="00981A65" w:rsidRPr="00BD6928" w14:paraId="545B0438" w14:textId="77777777" w:rsidTr="00ED6921">
        <w:trPr>
          <w:trHeight w:val="530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44EB3" w14:textId="40475738" w:rsidR="008C7304" w:rsidRPr="00470257" w:rsidRDefault="003C5E15" w:rsidP="00CD4B3C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սննդամթերքի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անվտանգության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տեսչական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մարմնի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Տեսչական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մարմին</w:t>
            </w:r>
            <w:proofErr w:type="spellEnd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proofErr w:type="spellStart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իրավ</w:t>
            </w:r>
            <w:r w:rsidR="00DC29D8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ական</w:t>
            </w:r>
            <w:proofErr w:type="spellEnd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աջակցության</w:t>
            </w:r>
            <w:proofErr w:type="spellEnd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և </w:t>
            </w:r>
            <w:proofErr w:type="spellStart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փաստաթղթաշրջանառության</w:t>
            </w:r>
            <w:proofErr w:type="spellEnd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</w:t>
            </w:r>
            <w:proofErr w:type="spellEnd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2E2AF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Վարչություն</w:t>
            </w:r>
            <w:proofErr w:type="spellEnd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պետ</w:t>
            </w:r>
            <w:proofErr w:type="spell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ծածկագիրը</w:t>
            </w:r>
            <w:proofErr w:type="spellEnd"/>
            <w:proofErr w:type="gram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՝</w:t>
            </w:r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81A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A5149" w:rsidRPr="00981A65">
              <w:rPr>
                <w:rFonts w:ascii="GHEA Grapalat" w:hAnsi="GHEA Grapalat"/>
                <w:sz w:val="24"/>
                <w:szCs w:val="24"/>
              </w:rPr>
              <w:t>70</w:t>
            </w:r>
            <w:proofErr w:type="gramEnd"/>
            <w:r w:rsidR="00DA5149" w:rsidRPr="00981A65">
              <w:rPr>
                <w:rFonts w:ascii="GHEA Grapalat" w:hAnsi="GHEA Grapalat"/>
                <w:sz w:val="24"/>
                <w:szCs w:val="24"/>
              </w:rPr>
              <w:t>-</w:t>
            </w:r>
            <w:r w:rsidR="00164C43" w:rsidRPr="00981A65">
              <w:rPr>
                <w:rFonts w:ascii="GHEA Grapalat" w:hAnsi="GHEA Grapalat"/>
                <w:sz w:val="24"/>
                <w:szCs w:val="24"/>
              </w:rPr>
              <w:t>2</w:t>
            </w:r>
            <w:r w:rsidR="00DA5149" w:rsidRPr="00981A6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164C43" w:rsidRPr="00981A65">
              <w:rPr>
                <w:rFonts w:ascii="GHEA Grapalat" w:hAnsi="GHEA Grapalat"/>
                <w:sz w:val="24"/>
                <w:szCs w:val="24"/>
              </w:rPr>
              <w:t>.5</w:t>
            </w:r>
            <w:r w:rsidR="00C61C6B" w:rsidRPr="00981A65">
              <w:rPr>
                <w:rFonts w:ascii="GHEA Grapalat" w:hAnsi="GHEA Grapalat"/>
                <w:sz w:val="24"/>
                <w:szCs w:val="24"/>
              </w:rPr>
              <w:t>-Ղ3-1)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Վարչության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պետն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անմիջական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34754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ենթակա</w:t>
            </w:r>
            <w:proofErr w:type="spellEnd"/>
            <w:r w:rsidR="00334754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 </w:t>
            </w:r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և</w:t>
            </w:r>
            <w:proofErr w:type="gram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հաշվետու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է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Տեսչական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մարմնի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ղեկավարին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. 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1.3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</w:t>
            </w:r>
            <w:proofErr w:type="spellEnd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պետին</w:t>
            </w:r>
            <w:proofErr w:type="spellEnd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="00ED692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անմիջական</w:t>
            </w:r>
            <w:proofErr w:type="spellEnd"/>
            <w:proofErr w:type="gram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ենթակա</w:t>
            </w:r>
            <w:proofErr w:type="spell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և </w:t>
            </w:r>
            <w:proofErr w:type="spell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հաշվետու</w:t>
            </w:r>
            <w:proofErr w:type="spell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են</w:t>
            </w:r>
            <w:proofErr w:type="spell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C7304" w:rsidRPr="00981A65">
              <w:rPr>
                <w:rFonts w:ascii="GHEA Grapalat" w:hAnsi="GHEA Grapalat"/>
                <w:sz w:val="24"/>
              </w:rPr>
              <w:t>Վարչության</w:t>
            </w:r>
            <w:proofErr w:type="spellEnd"/>
            <w:r w:rsidR="008C7304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9F7F62" w:rsidRPr="00981A65">
              <w:rPr>
                <w:rFonts w:ascii="GHEA Grapalat" w:hAnsi="GHEA Grapalat"/>
                <w:sz w:val="24"/>
              </w:rPr>
              <w:t>բաժն</w:t>
            </w:r>
            <w:r w:rsidR="008C7304" w:rsidRPr="00981A65">
              <w:rPr>
                <w:rFonts w:ascii="GHEA Grapalat" w:hAnsi="GHEA Grapalat"/>
                <w:sz w:val="24"/>
              </w:rPr>
              <w:t>ի</w:t>
            </w:r>
            <w:proofErr w:type="spellEnd"/>
            <w:r w:rsidR="008C7304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8C7304" w:rsidRPr="00981A65">
              <w:rPr>
                <w:rFonts w:ascii="GHEA Grapalat" w:hAnsi="GHEA Grapalat"/>
                <w:sz w:val="24"/>
              </w:rPr>
              <w:t>պետերը</w:t>
            </w:r>
            <w:proofErr w:type="spellEnd"/>
            <w:r w:rsidR="00AA4C3B" w:rsidRPr="00981A65">
              <w:rPr>
                <w:rFonts w:ascii="GHEA Grapalat" w:hAnsi="GHEA Grapalat"/>
                <w:sz w:val="24"/>
              </w:rPr>
              <w:t>.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1.4.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Փոխարինող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կամ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անվանումները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br/>
            </w:r>
            <w:r w:rsidR="00470257" w:rsidRPr="0047025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Վարչության պետի բացակայության դեպքում նրան փոխարինում է Վարչության բաժնի պետերից մեկը, իսկ դրա անհնարինության դեպքում՝ այլ կառուցվածքային ստորաբաժանման ղեկավարներից մեկը</w:t>
            </w:r>
            <w:r w:rsidR="008C7304" w:rsidRPr="00470257">
              <w:rPr>
                <w:rFonts w:ascii="GHEA Grapalat" w:hAnsi="GHEA Grapalat"/>
                <w:sz w:val="24"/>
                <w:szCs w:val="24"/>
              </w:rPr>
              <w:t>.</w:t>
            </w:r>
            <w:r w:rsidR="00BD6928" w:rsidRPr="0047025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07C1C6B" w14:textId="77777777" w:rsidR="003C5E15" w:rsidRPr="00981A65" w:rsidRDefault="003C5E15" w:rsidP="00C659F2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7060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1.5.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Աշխատավայրը</w:t>
            </w:r>
            <w:proofErr w:type="spellEnd"/>
            <w:r w:rsidRPr="00D7060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Հայաստան</w:t>
            </w:r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ք</w:t>
            </w:r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Երևան</w:t>
            </w:r>
            <w:proofErr w:type="spellEnd"/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082CFD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Արաբկ</w:t>
            </w:r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իր</w:t>
            </w:r>
            <w:proofErr w:type="spellEnd"/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վարչական</w:t>
            </w:r>
            <w:proofErr w:type="spellEnd"/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շրջան</w:t>
            </w:r>
            <w:proofErr w:type="spellEnd"/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DA514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Կոմիտաս</w:t>
            </w:r>
            <w:proofErr w:type="spellEnd"/>
            <w:r w:rsidR="00DA514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49/</w:t>
            </w:r>
            <w:r w:rsidR="00DA514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2</w:t>
            </w:r>
          </w:p>
        </w:tc>
      </w:tr>
      <w:tr w:rsidR="00981A65" w:rsidRPr="00470257" w14:paraId="70918F11" w14:textId="77777777" w:rsidTr="001237C6">
        <w:trPr>
          <w:trHeight w:val="55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DBFE5" w14:textId="77777777" w:rsidR="003C5E15" w:rsidRPr="00981A65" w:rsidRDefault="003C5E15" w:rsidP="00C659F2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2. </w:t>
            </w:r>
            <w:proofErr w:type="spellStart"/>
            <w:r w:rsidRPr="00981A65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  <w:p w14:paraId="04778F15" w14:textId="77777777" w:rsidR="007C5CD9" w:rsidRPr="00981A65" w:rsidRDefault="007C5CD9" w:rsidP="00C659F2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79B8D8C4" w14:textId="77777777" w:rsidR="007C5CD9" w:rsidRPr="00981A65" w:rsidRDefault="007C5CD9" w:rsidP="00C659F2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2.1. </w:t>
            </w:r>
            <w:proofErr w:type="spellStart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Աշխատանքի</w:t>
            </w:r>
            <w:proofErr w:type="spellEnd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պարտականությունները</w:t>
            </w:r>
            <w:proofErr w:type="spellEnd"/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14:paraId="4360C3A0" w14:textId="77777777" w:rsidR="0000101D" w:rsidRPr="00981A65" w:rsidRDefault="0000101D" w:rsidP="00C659F2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723DA4AB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Տեսչական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ստորաբաժանումների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մշակված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փորձաքննության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իրականաց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14:paraId="41E32244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կառավարությունից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նախարարություններից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մարմիններից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ստացված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օրենքների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կարծիքների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տրամադր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14:paraId="41A66524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պաշտոնական պարզաբանումների նախագծերի վերաբերյալ եզրակացությունների տրամադր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2782F923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ստուգման ակտերի նախագծերի վերաբերյալ առաջարկություների ներկայաց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669C6C22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 և ֆիզիկական անձանց կողմից ներկայացված դիմումներում բարձրացված հարցերի ուսումնասիրությ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 և դրա հիման վրա համապատասխան պատասխանատու ստորաբաժանումներին առաջարկությունների ներկայաց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ինչպես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նաև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դրանց վերաբերյալ պատասխանների նախագծերի կազմ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19ED4BF1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ստորաբաժանումներին իրավական աջակցության և խորհրդատվության տրամադր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3F870C21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Տեսչական մարմնին վերապահված իրավասությունների շրջանակներում Հայաստանի Հանրապետության դատական և այլ պետական մարմիններում Տեսչական մարմնի շահերի պաշտպանության իրականացման, անհրաժեշտ փաստաթղթերի կազմման աշխատանքները.</w:t>
            </w:r>
          </w:p>
          <w:p w14:paraId="3AE934F1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իրավախախտումների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քննությանը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Վարչության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մասնակցությունը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ինչպես նաև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իրավախախտումների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գործերով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պատրաստման աշխատանքները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1FA0CB0F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 անունից կնքվող պայմանագրերի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կազմման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Տեսչական մարմնի այլ ստորաբաժանումների կողմից ներկայացված պայմանագրերի վերաբերյալ իրավական եզրակացության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769AB931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Տեսչական մարմնի ենթակայությանը հանձնված պետական ոչ առևտրային կազմակերպության նկատմամբ</w:t>
            </w:r>
            <w:r w:rsidR="00D369C0" w:rsidRPr="00981A65">
              <w:rPr>
                <w:sz w:val="24"/>
                <w:szCs w:val="24"/>
                <w:lang w:val="hy-AM"/>
              </w:rPr>
              <w:t xml:space="preserve">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Տեսչական մարմնի՝ որպես լիազորված պետական մարմնի կողմից կազմակերպության կառավարման իրականացման, լիազորությունների իրականացման կապված կազմակերպության գործունեության վերահսկողության իրականացման, կազմակերպության գործադիր մարմնի` Հայաստանի Հանրապետության օրենսդրության պահանջներին հակասող հրամանները, հրահանգները, կարգադրություններն ու ցուցումները կասեցնելու կամ ուժը կոցրած ճանաչելու և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այլն իրավական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ապահովման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28BF763A" w14:textId="77777777" w:rsidR="000A44E5" w:rsidRPr="00981A65" w:rsidRDefault="00AA44F3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lastRenderedPageBreak/>
              <w:t xml:space="preserve">իրականացնում է մեթոդական ղեկավարում 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Տեսչական մարմնի ենթակայությանը հանձնված պետական ոչ առևտրային կազմակերպության իրավական գոր</w:t>
            </w:r>
            <w:r w:rsidR="00BD423B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ծ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ընթացների պատշաճ իրականացման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նկատմամբ.</w:t>
            </w:r>
          </w:p>
          <w:p w14:paraId="5427586D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հանձնաժովորի կողմից կազմակերպվող ոլորտային քննարկումներին, ինչպես նաև Եվրասիական տնտեսական հանձնաժողովի ոլորտային աշխատանքային խմբերին </w:t>
            </w:r>
            <w:r w:rsidR="00FB17E6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Վար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և դիրքորոշման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047820C6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միության անդամակցությունից բխող իրավական ակտերի մշակմանը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0F8DF0DF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հանձնաժողովի, ինչպես նաև Եվրասիական տնտեսական միության անդամ երկրների կողմից ներկայացված օրենսդրական նախաձեռնությունների վերաբերյալ դիրքորոշման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535E638B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միության տարածքում ապրանքաշրջանառության ընթացքում պետական վերահսկողության շրջանակում ծագած խնդիրների վերաբերյալ իրավական պարզաբանումների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671D9EBD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 կողմից իրականացվող պետական վերահսկողության ընթացքում ծագած իրավական հարցերի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պարզաբանումների 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765FB14B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իրավասության սահմաններում Տեսչական մարմնի կողմից իրականացվող պետական  վերահսկողությանը և վարչական վարույթներին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,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ինչպես նաև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դրանց առնչվող փաստաթղթերի նախագծերի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նախապատրաստման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50217505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սննդամթերքի և կերի անվտանգության, անասնաբուժության, բուսասանիտարիայի բնագավառների վերաբերյալ իրավական ակտերի նախագծերի կազմմանը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աջակցության ցուցաբերման և դրանց վերաբերյալ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առաջարկությունների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2E931483" w14:textId="77777777" w:rsidR="002741A8" w:rsidRPr="00981A65" w:rsidRDefault="00FB17E6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սննդամթերքի և կերի անվտանգության, անասնաբուժության և բուսասանիտարիայի ոլորտներում կնքվող միջազգային պայմանագրերի նախագծերի իրավական վավերության և ձևակերպումների ճշտության ստուգման աշխատանքները. </w:t>
            </w:r>
          </w:p>
          <w:p w14:paraId="5B86BB4E" w14:textId="77777777" w:rsidR="002741A8" w:rsidRPr="00981A65" w:rsidRDefault="002741A8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գնումների կազմակերպման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14:paraId="5ACC97BF" w14:textId="77777777" w:rsidR="002741A8" w:rsidRPr="00981A65" w:rsidRDefault="002741A8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կազմակերպատնտեսական, ինչպես նաև Տեսչական մարմնի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կողմից ստուգումների տարեկան ծրագրով չնախատեսված ստուգումների անցկացման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14:paraId="75E65040" w14:textId="77777777" w:rsidR="00FB17E6" w:rsidRPr="00981A65" w:rsidRDefault="00FB17E6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Տեսչական մարմնի ղեկավարի, նրա տեղակալների ստորագրությամբ ելից փաստաթղթերի վերաբերյալ առաջարկությունների ներկայացման և համաձայնեցման աշխատանքները. </w:t>
            </w:r>
          </w:p>
          <w:p w14:paraId="1FA1AD99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մտից փաստաթղթերի գրանցման, համարակալման և թղթային, փոստային առաքման աշխատանքների իրականացում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188D9449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ելից փաստաթղթերի համարակալման և թղթային, փոստային առաքման աշախատանքների իրականացում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0A7E75DC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ղեկավարի կողմից ստորագրված հրամանների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307C3B62" w14:textId="77777777" w:rsidR="00935C4C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արխիվ հանձնվող փաստաթղթերի հաշվառման և պահպանման </w:t>
            </w:r>
            <w:r w:rsidR="0031434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935C4C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31434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8FEFCDD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քաղաքացիների կողմից ստացված դիմումների, առաջարկությունների և բողոքների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ծանուցման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առաքման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59377117" w14:textId="77777777" w:rsidR="00AA44F3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Նախագահի, Ազգային ժողովի, վարչապետի աշխատակազմերից ստացված հանձնարարականների, նախարարություններից և այլ պետական մարմիններից, կազմակերպություններից ստացված փաստաթղթերի փաստաթղթաշրջանառության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կազմակերպման աշխատանքները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</w:p>
          <w:p w14:paraId="3EFA7225" w14:textId="77777777" w:rsidR="00735C38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Խորհրդի նիստի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նյութերի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արձանագրությունների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կազմման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28F9D9C6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Վարչությունում հաշվառված հանձնարարականների կատարման ընթացքի մասին Տեսչական մարմնի ղեկավարին ժամկետանց և կատարվելիք ամփոփաթերթերի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14243CBA" w14:textId="77777777" w:rsidR="00D369C0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մեկ ամսվա կտրվածքով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արչությունում հաշվառված հանձնարականների կատարման ընթացքի մասին վերլուծական տեղեկանքի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տրամադրումը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ղեկավարին.</w:t>
            </w:r>
          </w:p>
          <w:p w14:paraId="4D3A5D19" w14:textId="77777777" w:rsidR="00D50D0B" w:rsidRPr="00D50D0B" w:rsidRDefault="00D50D0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 իրավասության շրջանակներում ապահովում է հակակոռուպցիոն միջոցառումների և հակակոռուպցիոն ոլորտի միջազգային պարտավորությունների կատարմանն ուղղված աշխատանքների համակարգումը.</w:t>
            </w:r>
          </w:p>
          <w:p w14:paraId="53126465" w14:textId="77777777" w:rsidR="007C5CD9" w:rsidRPr="00981A65" w:rsidRDefault="007C5CD9" w:rsidP="00164C43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3A24824" w14:textId="77777777" w:rsidR="003C5E15" w:rsidRPr="00981A65" w:rsidRDefault="007C5CD9" w:rsidP="00C659F2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Իրավունքները՝</w:t>
            </w:r>
          </w:p>
          <w:p w14:paraId="03B65191" w14:textId="77777777" w:rsidR="00DC5D33" w:rsidRPr="00981A65" w:rsidRDefault="00DC5D33" w:rsidP="00C659F2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463DBE8" w14:textId="77777777" w:rsidR="004A1EC6" w:rsidRPr="00981A65" w:rsidRDefault="004A1EC6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Վարչության իրավասությանը վերապահված ոլորտին առնչվող ծրագրերի, նախագծերի մշակման </w:t>
            </w:r>
            <w:r w:rsidR="00735D06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աշխատանքների ընթացքում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քննարկվող հարցերի </w:t>
            </w:r>
            <w:r w:rsidR="00735D06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վերաբերյալ 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ներկայացնել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մասնագիտական 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դիրքորոշում, կարծիքներ, առաջարկություններ, առարկություններ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05F7F78D" w14:textId="77777777" w:rsidR="00110C8B" w:rsidRPr="00981A65" w:rsidRDefault="00110C8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Տեսչական մարմնի իրավասությանը վերապահված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ոլորտների առանձին իրավակարգավորումների վերաբերյալ միջազգային փորձի ուսումնասիրության և դրա հիմա վրա օրենսդրությունում առկա բացերի, թերությունների վերացման և օրենսդրության կատարելագործման վերաբերյալ </w:t>
            </w:r>
            <w:r w:rsidR="004D0C63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ներկայացնել առաջարկություններ.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14:paraId="14E08C68" w14:textId="77777777" w:rsidR="004A1EC6" w:rsidRPr="00981A65" w:rsidRDefault="004A1EC6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Վարչության բաժինների պետերից իրանց իրավասությանը վերապահված ոլորտում իրականացվող աշխատանքների վերաբերյալ </w:t>
            </w:r>
            <w:r w:rsidR="00B80C7A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պահանջել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հաշվետվություններ, զեկուցագրեր, անհրաժեշտ փաստաթղթեր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05771D65" w14:textId="77777777" w:rsidR="00775518" w:rsidRPr="00981A65" w:rsidRDefault="00A30269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գործունեությանն առնչվող պայմանագրերի, համաձայնագրերի, լիազորագրերի, հանձնարարականների և այլ փ</w:t>
            </w:r>
            <w:r w:rsidR="00D70608">
              <w:rPr>
                <w:rFonts w:ascii="GHEA Grapalat" w:hAnsi="GHEA Grapalat" w:cs="Sylfaen"/>
                <w:sz w:val="24"/>
                <w:szCs w:val="24"/>
                <w:lang w:val="hy-AM"/>
              </w:rPr>
              <w:t>աստաթղթ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երի նախագծերի մշակման աշխատանքների իրականացման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նպատակով </w:t>
            </w:r>
            <w:r w:rsidR="009B374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անցկացնել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աշխատանքային և մասնագիտական </w:t>
            </w:r>
            <w:r w:rsidR="00F55B0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քննարկումներ</w:t>
            </w:r>
            <w:r w:rsidR="00DA5149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45AF543A" w14:textId="77777777" w:rsidR="00775518" w:rsidRPr="00981A65" w:rsidRDefault="00A30269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կառուցվածքային ստորաբաժանումներից, այլ մարմիններից, պաշտոնատար անձանցից </w:t>
            </w:r>
            <w:r w:rsidR="00244414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առջև դրված գործառույթների և խնդիրների իրականացման հետ կապված անհրաժեշտ </w:t>
            </w:r>
            <w:r w:rsidR="004A1EC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տեղեկատվությու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 և նյութեր</w:t>
            </w:r>
            <w:r w:rsidR="00DA5149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723F192C" w14:textId="77777777" w:rsidR="00775518" w:rsidRDefault="00775518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առջև դրված խնդիրների և գործառույթների իրականացման հետ կապված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հրավիրել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խորհրդակցություններ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ինչպես նաև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իրավասությանը վերապահված խնդիրների, գործառույթների հետ կապված խորհրդակցություններին և քննարկումներին</w:t>
            </w:r>
            <w:r w:rsidR="00DC5D3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քննարկվող հարցերի շուրջ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առաջարկություններ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DC5D3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79B5A098" w14:textId="77777777"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GHEA Grapalat" w:eastAsia="Batang" w:hAnsi="GHEA Grapalat" w:cs="Sylfaen"/>
                <w:sz w:val="24"/>
                <w:szCs w:val="24"/>
                <w:lang w:val="af-ZA"/>
              </w:rPr>
            </w:pPr>
            <w:r w:rsidRPr="00D50D0B">
              <w:rPr>
                <w:rFonts w:ascii="GHEA Grapalat" w:eastAsia="Batang" w:hAnsi="GHEA Grapalat" w:cs="Sylfaen"/>
                <w:sz w:val="24"/>
                <w:szCs w:val="24"/>
                <w:lang w:val="af-ZA"/>
              </w:rPr>
              <w:t>իրականացվող հակակոռուպցիոն ծրագրերի շրջանակներում Տեսչական մարմնի ստորաբաժանումներից պահանջել և ստանալ տեղեկատվություն.</w:t>
            </w:r>
          </w:p>
          <w:p w14:paraId="47DEF1E9" w14:textId="77777777"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քաղաքականության և մոնիտորինգի համար պատասխանատու մարմնից պահանջել և ստանալ մեթոդական աջակցություն, խորհրդատվություն ռազմավարական փաստաթղթերով նախատեսված հակակոռուպցիոն ոլորտի միջոցառումների և ոլորտային միջազգային պարտավորությունների վերաբերյալ.</w:t>
            </w:r>
          </w:p>
          <w:p w14:paraId="4EF359E0" w14:textId="77777777" w:rsidR="00775518" w:rsidRPr="00981A65" w:rsidRDefault="00775518" w:rsidP="00C659F2">
            <w:pPr>
              <w:spacing w:after="0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14:paraId="68CBC53B" w14:textId="77777777" w:rsidR="007C5CD9" w:rsidRPr="00981A65" w:rsidRDefault="007C5CD9" w:rsidP="00C659F2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Պարտականությունները՝</w:t>
            </w:r>
          </w:p>
          <w:p w14:paraId="6C5A66FC" w14:textId="77777777" w:rsidR="007C5CD9" w:rsidRPr="00981A65" w:rsidRDefault="007C5CD9" w:rsidP="00C659F2">
            <w:pPr>
              <w:pStyle w:val="ListParagrap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14:paraId="632DC9BB" w14:textId="77777777" w:rsidR="00D73A58" w:rsidRPr="00981A65" w:rsidRDefault="007D22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ուսումնասիրել  Տեսչական մարմնի ենթակայությամբ գործող պետական ոչ առևտրային կազմակերպության (ՀԱԲԼԾԿ ՊՈԱԿ) գործադիր մարմնի կողմից ընդունված հրամանները, հրահանգները, կարգադրությունները, ցուցումները և այլ իրավական ակտերը, օրենսդրության խախտումներ, օրենսդրության պահանջներին հակասող իրավական ակտեր, դրույթներ հայտնաբերելու դեպքում մշակել օրենսդրության պահանջներին  հակասող գործող իրավական ակտերի կամ դրանցում առկա դրույթների </w:t>
            </w:r>
            <w:r w:rsidR="00520F1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դադարեցման կամ ուժը կորցրած ճանաչելուն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 նախագիծ և ներկայացնել Տեսչական մարմնի ղեկավարին.</w:t>
            </w:r>
          </w:p>
          <w:p w14:paraId="6EA0F242" w14:textId="77777777" w:rsidR="00805967" w:rsidRPr="00981A65" w:rsidRDefault="005A57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ուսումնասիրել </w:t>
            </w:r>
            <w:r w:rsidR="007D22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ՀԱԲԼԾԿ ՊՈԱԿ-ի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գործադիր մարմնի կողմից մշակված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հրամանների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հրահանգների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կարգադրությունների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ցուցումների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այլ իրավական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ակտերի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նախագծերը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օրենսդրության պահանջներին հակասող դրույթներ հայտնաբերելու դեպքում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նախաձեռնել դրանց </w:t>
            </w:r>
            <w:r w:rsidR="00520F1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դադարեցման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 ուժը կորցրած ճանաչել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ու գործընթացը՝ մշակելով դրա վերաբերյալ համապատասխան առաջարկություններով և հիմնավորումներով իրավական ակտի նախագիծ և ներկայացնելով Տեսչական մարմնի ղեկավարին</w:t>
            </w:r>
            <w:r w:rsidR="000A44E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F7ABA53" w14:textId="77777777" w:rsidR="007D226A" w:rsidRPr="00981A65" w:rsidRDefault="00604B11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ենթակայությամբ գործող պետական ոչ առևտրային կազմակերպության </w:t>
            </w:r>
            <w:r w:rsidR="000937AE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շահերի ապահովման նպատակով, վերջինիս տրված գործառույթներին առնչվող գործերով լիազորագրի հիման վրա Հայաստանի Հանրապետության դատարաններում հանդես գալ որպես հայցվոր և պատասխանող՝ ապահովելով վերջինիս դատական ներկայացուցչությունը և իրականացնելով դատավարական անհրաժեշտ գործողություններ.</w:t>
            </w:r>
          </w:p>
          <w:p w14:paraId="124ACECF" w14:textId="77777777" w:rsidR="000937AE" w:rsidRPr="00981A65" w:rsidRDefault="001F5D6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 Տեսչական մարմնի ենթակայությամբ գործող պետական ոչ առևտրային կազմակերպության գործառույթների, վերջինիս վերապահված լիազորությունների կատարումն ապահովող իրավական ակտերի նախագծեր.</w:t>
            </w:r>
          </w:p>
          <w:p w14:paraId="5AEC87B5" w14:textId="77777777" w:rsidR="00805967" w:rsidRPr="00981A65" w:rsidRDefault="0080596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ենթակայությամբ գործող պետական ոչ առևտրային կազմակերպության գործադիր մարմնի կողմից կնքված պայմանագրերի առնչությամբ </w:t>
            </w:r>
            <w:r w:rsidR="005A57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A57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իրավական-փորձագիտական եզրակացություն և  ստուգել դրանց իրավական վավերությունը և ճշգրտությունը,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 պահանջներին հակասող դրույթներ հայտնաբերելու դեպքում տալ դրանց վերացմանն ուղղված համապատասխան ցուցումներ.</w:t>
            </w:r>
          </w:p>
          <w:p w14:paraId="3F1F008C" w14:textId="77777777" w:rsidR="005A576A" w:rsidRPr="00981A65" w:rsidRDefault="005A57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ամփոփել ՊՈԱԿ-ի գործունեության իրավական պրակտիկան, ներկայացնել համապատասխան հանձնարարականներ օրենսդրության բացերի վերացման</w:t>
            </w:r>
            <w:r w:rsidR="001A34A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 հակասությունների կարգավորման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իրավակիրառ պրակտիկայի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կատարելագործման առնչությամբ. </w:t>
            </w:r>
          </w:p>
          <w:p w14:paraId="2364D3E0" w14:textId="77777777" w:rsidR="00805967" w:rsidRPr="00981A65" w:rsidRDefault="0080596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ենթակայությանը հանձնված պետական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իրականացման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հիմնադրի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որոշմամբ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կանոնադրությամբ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օտարման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վարձակալության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 Տեսչական մարմնի կողմից տրամադրվող համաձայնությունների վերաբերյալ տալ իրավական-փորձագիտական եզրակացություն.</w:t>
            </w:r>
          </w:p>
          <w:p w14:paraId="6E210A1F" w14:textId="77777777" w:rsidR="00A30269" w:rsidRPr="00981A65" w:rsidRDefault="004D0C6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հետևել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լիազորությունների շրջանակներում առաջարկությունների, հաշվետվությունների, տեղեկանքների, միջնորդագրերի, զեկուցագրերի և այլ գրությունների նախապատրաստման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աշխատանքներին, անհրաժեշտության դեպքում, ցուցաբերել </w:t>
            </w:r>
            <w:r w:rsidR="005E02C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իրավական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աջակցություն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E041F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48E27A0" w14:textId="77777777" w:rsidR="0063708A" w:rsidRPr="00981A65" w:rsidRDefault="0063708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Տեսչական մարմնի կողմից մշակված իրավական ակտերի նախագծերի վերաբերյալ տրամադրել մասնագիտական  եզրակացություններ. </w:t>
            </w:r>
          </w:p>
          <w:p w14:paraId="5C92C904" w14:textId="77777777" w:rsidR="00314347" w:rsidRPr="00981A65" w:rsidRDefault="0031434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իրեն տրված լիազորությունների հիման վրա և Տեսչական մարմնին վերապահված իրավասությունների շրջանակներում այլ մարմիններում պաշտպանել  </w:t>
            </w:r>
            <w:r w:rsidR="00735D0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շահերը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06367885" w14:textId="77777777" w:rsidR="00544EE3" w:rsidRPr="00981A65" w:rsidRDefault="0063708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ամփոփել </w:t>
            </w:r>
            <w:r w:rsidR="00544EE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մասնակցությամբ դատական պրակտիկայի աշխատանքներ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 Տեսչական մարմնի ղեկավարին ներկայացնել մասնագիտական առաջարկություններ, եզրակացություններ այդ աշխատանքների կատարելագործման, առավել բարձր արդյունքների գրանցման վերաբերյալ</w:t>
            </w:r>
            <w:r w:rsidR="00544EE3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</w:p>
          <w:p w14:paraId="72BA4687" w14:textId="77777777" w:rsidR="00544EE3" w:rsidRPr="00981A65" w:rsidRDefault="00544EE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Վարչություն հասցեագրված դիմում-բողոքների կապակցությամբ Հայաստանի Հանրապետության օրենսդրությամբ սահմանված կարգով և դեպքերում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մասնակցել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վարչական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վարույթներ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կազմակերպված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վարչական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լսումներ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Տեսչական մարմին դիմած քաղաքացիներին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տրամադրել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իրավաբանական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խորհրդատվություն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6F309C6E" w14:textId="77777777" w:rsidR="00107823" w:rsidRPr="00981A65" w:rsidRDefault="0010782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և կերի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կարգավորող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Հայա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տանի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o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րեն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դրության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հակա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ող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իրականացնել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համապատասխան ուսումնասիրություններ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36EE1DAD" w14:textId="77777777" w:rsidR="007A14F0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Sylfaen" w:hAnsi="GHEA Grapalat" w:cs="Sylfaen"/>
                <w:sz w:val="24"/>
                <w:lang w:val="hy-AM"/>
              </w:rPr>
              <w:t xml:space="preserve">ուսումնասիրել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Վարչության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գործառույթները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81A65">
              <w:rPr>
                <w:rFonts w:ascii="GHEA Grapalat" w:eastAsia="Sylfaen" w:hAnsi="GHEA Grapalat" w:cs="Sylfaen"/>
                <w:sz w:val="24"/>
                <w:lang w:val="hy-AM"/>
              </w:rPr>
              <w:t>ակտեր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14:paraId="67F5371C" w14:textId="77777777" w:rsidR="000E6D5F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ստուգել </w:t>
            </w:r>
            <w:r w:rsidR="00565E31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 և կերի</w:t>
            </w:r>
            <w:r w:rsidR="00565E31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565E31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անվտանգության, անասնաբուժության և բուսասանիտարիայի</w:t>
            </w:r>
            <w:r w:rsidR="00565E31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ոլորտներում </w:t>
            </w:r>
            <w:r w:rsidR="0094339A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կնքվող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պայմանագրերի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նախագծերի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F41714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ական</w:t>
            </w:r>
            <w:r w:rsidR="006D479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վավերությունը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. </w:t>
            </w:r>
          </w:p>
          <w:p w14:paraId="45500F07" w14:textId="77777777" w:rsidR="00251AF0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հետևել </w:t>
            </w:r>
            <w:r w:rsidR="00624A4D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գործունեությանն առնչվող պայմանագրերի, համաձայնագրերի, լիազորագրերի, հանձնարարականների և այլ փաստաթղթղերի նախագծերի </w:t>
            </w:r>
            <w:r w:rsidR="005D4E53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մշակման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աշխատանքներին, օրենսդրության պահանջների խախտումներ հայտնաբերելու դեպքում պահանջել անհապաղ վերացնել դրանք</w:t>
            </w:r>
            <w:r w:rsidR="00624A4D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</w:p>
          <w:p w14:paraId="2B5D61ED" w14:textId="77777777" w:rsidR="000E6D5F" w:rsidRPr="00981A65" w:rsidRDefault="000E6D5F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իրավասության վերապահված ոլորտները կարգավորող իրավական ակտերի դրույթների կիրառման վերաբերյալ տալ պարզաբանումներ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38828788" w14:textId="77777777" w:rsidR="003C5E15" w:rsidRPr="008C0ECB" w:rsidRDefault="00AE50FF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մասնակցել դրանց ընթացք տալու աշխատանքներին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02963C5C" w14:textId="77777777" w:rsidR="008C0ECB" w:rsidRPr="00D50D0B" w:rsidRDefault="008C0EC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հետևել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զորահավաքային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նախապատրաստության և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D0B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 վերաբերյալ առաջարկությունների և փաստաթղթերի ներկայացմանը  Տեսչական մարմնի ղեկավարին.</w:t>
            </w:r>
          </w:p>
          <w:p w14:paraId="589641A1" w14:textId="77777777"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իրավասության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շրջանակներում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համագործակցել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իրավասու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մարմինների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հետևել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ռազմավարական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փաստաթղթերով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հակակոռուպցիոն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ոլորտի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միջոցառումների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հաշվետվությունների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ինքնագնահատման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զեկույցների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կազմման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հարցաշարերի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լրացման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մասնակցել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հակակոռուպցիոն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ոլորտին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առնչվող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քննարկումներին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14:paraId="17609DC7" w14:textId="77777777" w:rsidR="00D50D0B" w:rsidRPr="008C0ECB" w:rsidRDefault="00D50D0B" w:rsidP="00D50D0B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տրամադրել </w:t>
            </w: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</w:t>
            </w: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գործառույթներին առնչվող ռազմավարական փաստաթղթերով նախատեսված՝ հակակոռուպցիոն ոլորտի միջոցառումների և ոլորտային միջազգային պարտավորությունների կատարման վերաբերյալ տեղեկատվություն, պարզաբանումներ, միջոցներ ձեռնարկել </w:t>
            </w: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</w:t>
            </w: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կողմից ոլորտային միջազգային պարտավորությունների կատարումն ապահովելու ուղղությամբ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981A65" w:rsidRPr="00981A65" w14:paraId="1E52759B" w14:textId="77777777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A6CB9" w14:textId="77777777" w:rsidR="003C5E15" w:rsidRPr="00417FCE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  <w:r w:rsidR="00417FCE" w:rsidRPr="00417FC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4599BE43" w14:textId="77777777" w:rsidR="0000101D" w:rsidRPr="00D50D0B" w:rsidRDefault="003C5E15" w:rsidP="00C659F2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981A65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417FCE" w:rsidRPr="00417FC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417FCE" w:rsidRPr="00D50D0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tbl>
            <w:tblPr>
              <w:tblStyle w:val="TableGrid"/>
              <w:tblW w:w="9270" w:type="dxa"/>
              <w:tblLook w:val="04A0" w:firstRow="1" w:lastRow="0" w:firstColumn="1" w:lastColumn="0" w:noHBand="0" w:noVBand="1"/>
            </w:tblPr>
            <w:tblGrid>
              <w:gridCol w:w="811"/>
              <w:gridCol w:w="2770"/>
              <w:gridCol w:w="5689"/>
            </w:tblGrid>
            <w:tr w:rsidR="009050A2" w:rsidRPr="00470257" w14:paraId="0FF7B8D8" w14:textId="77777777" w:rsidTr="00A24809">
              <w:trPr>
                <w:trHeight w:val="94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4EE00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B51CA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0D796B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9050A2" w:rsidRPr="00470257" w14:paraId="185B0843" w14:textId="77777777" w:rsidTr="00A24809">
              <w:trPr>
                <w:trHeight w:val="364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AE813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2.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5DDD1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B8E9D" w14:textId="77777777"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 xml:space="preserve">Իրավունք </w:t>
                  </w:r>
                </w:p>
              </w:tc>
            </w:tr>
            <w:tr w:rsidR="009050A2" w:rsidRPr="00470257" w14:paraId="69B2090C" w14:textId="77777777" w:rsidTr="00A24809">
              <w:trPr>
                <w:trHeight w:val="385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8A30A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73B963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BBD17" w14:textId="77777777"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>Իրավունք</w:t>
                  </w:r>
                </w:p>
              </w:tc>
            </w:tr>
            <w:tr w:rsidR="009050A2" w:rsidRPr="00470257" w14:paraId="50094B0B" w14:textId="77777777" w:rsidTr="00A24809">
              <w:trPr>
                <w:trHeight w:val="128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20E90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4.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59828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B1B76" w14:textId="77777777"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 w:cs="GHEA Grapalat"/>
                      <w:lang w:val="hy-AM"/>
                    </w:rPr>
                    <w:t xml:space="preserve">042101.00.6 </w:t>
                  </w: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>Իրավագիտություն</w:t>
                  </w:r>
                </w:p>
              </w:tc>
            </w:tr>
          </w:tbl>
          <w:p w14:paraId="0F90C249" w14:textId="77777777" w:rsidR="00082CFD" w:rsidRPr="00D50D0B" w:rsidRDefault="00082CFD" w:rsidP="00082CF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b/>
                <w:lang w:val="hy-AM"/>
              </w:rPr>
            </w:pPr>
          </w:p>
          <w:p w14:paraId="3F7A2377" w14:textId="77777777" w:rsidR="008E696F" w:rsidRPr="00981A65" w:rsidRDefault="003C5E15" w:rsidP="00082CF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81A65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Pr="00981A65">
              <w:rPr>
                <w:rFonts w:ascii="GHEA Grapalat" w:hAnsi="GHEA Grapalat" w:cs="Sylfaen"/>
                <w:lang w:val="hy-AM"/>
              </w:rPr>
              <w:t>Ունի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իրականացման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համար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անհրաժեշտ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գիտելիքներ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Pr="00981A65">
              <w:rPr>
                <w:rFonts w:ascii="GHEA Grapalat" w:hAnsi="GHEA Grapalat"/>
                <w:b/>
                <w:lang w:val="hy-AM"/>
              </w:rPr>
              <w:t>3.3.</w:t>
            </w:r>
            <w:r w:rsidRPr="00981A65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="00775518" w:rsidRPr="00981A65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E6052F" w:rsidRPr="00981A65">
              <w:rPr>
                <w:rFonts w:ascii="GHEA Grapalat" w:hAnsi="GHEA Grapalat" w:cs="Sylfaen"/>
                <w:lang w:val="hy-AM"/>
              </w:rPr>
              <w:t xml:space="preserve">ռնվազն երեք տարվա ստաժ կամ 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981A65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0E6D5F" w:rsidRPr="00981A65">
              <w:rPr>
                <w:rFonts w:ascii="GHEA Grapalat" w:hAnsi="GHEA Grapalat" w:cs="Sylfaen"/>
                <w:lang w:val="hy-AM"/>
              </w:rPr>
              <w:t xml:space="preserve">իրավունքի </w:t>
            </w:r>
            <w:r w:rsidR="00775518" w:rsidRPr="00981A65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981A65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 </w:t>
            </w:r>
            <w:r w:rsidRPr="00981A65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14:paraId="4BAF67DE" w14:textId="77777777" w:rsidR="00531B09" w:rsidRPr="00981A65" w:rsidRDefault="008E696F" w:rsidP="00C659F2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proofErr w:type="spellStart"/>
            <w:r w:rsidRPr="00981A65">
              <w:rPr>
                <w:rFonts w:ascii="GHEA Grapalat" w:hAnsi="GHEA Grapalat" w:cs="Sylfaen"/>
                <w:b/>
              </w:rPr>
              <w:t>Ընդհանրական</w:t>
            </w:r>
            <w:proofErr w:type="spellEnd"/>
            <w:r w:rsidRPr="00981A6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b/>
              </w:rPr>
              <w:t>կոմպետենցիաներ</w:t>
            </w:r>
            <w:proofErr w:type="spellEnd"/>
            <w:r w:rsidRPr="00981A65">
              <w:rPr>
                <w:rFonts w:ascii="GHEA Grapalat" w:hAnsi="GHEA Grapalat" w:cs="Sylfaen"/>
                <w:b/>
              </w:rPr>
              <w:t>՝</w:t>
            </w:r>
          </w:p>
          <w:p w14:paraId="23308F1C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Աշխատակազմի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  <w:proofErr w:type="spellEnd"/>
          </w:p>
          <w:p w14:paraId="18EEE863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Քաղաքականության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մոնիթորինգ</w:t>
            </w:r>
            <w:proofErr w:type="spellEnd"/>
          </w:p>
          <w:p w14:paraId="2055CED2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Որոշումների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կայացում</w:t>
            </w:r>
            <w:proofErr w:type="spellEnd"/>
          </w:p>
          <w:p w14:paraId="16EC1240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  <w:proofErr w:type="spellEnd"/>
          </w:p>
          <w:p w14:paraId="7984F16C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  <w:proofErr w:type="spellEnd"/>
          </w:p>
          <w:p w14:paraId="7C2EA3B5" w14:textId="77777777" w:rsidR="008E696F" w:rsidRPr="00981A65" w:rsidRDefault="0000101D" w:rsidP="00082CF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proofErr w:type="spellEnd"/>
            <w:r w:rsidRPr="00981A65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14:paraId="244B511D" w14:textId="77777777" w:rsidR="008E696F" w:rsidRPr="00981A65" w:rsidRDefault="008E696F" w:rsidP="00C659F2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</w:t>
            </w:r>
            <w:proofErr w:type="spellStart"/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>՝</w:t>
            </w:r>
          </w:p>
          <w:p w14:paraId="787390D6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Բանակցությունների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վարում</w:t>
            </w:r>
            <w:proofErr w:type="spellEnd"/>
          </w:p>
          <w:p w14:paraId="048850A4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Փոփոխությունների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14:paraId="7C8A5075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Կոնֆլիկտների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14:paraId="613D9123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Բողոքների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բավարարում</w:t>
            </w:r>
            <w:proofErr w:type="spellEnd"/>
          </w:p>
          <w:p w14:paraId="11F5D6A4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Ժամանակի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14:paraId="1F380CC6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Ելույթների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նախապատրաստում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կազմակերպում</w:t>
            </w:r>
            <w:proofErr w:type="spellEnd"/>
          </w:p>
          <w:p w14:paraId="444ECE70" w14:textId="77777777" w:rsidR="003C5E15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Ժողովների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խորհրդակցությունների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կազմակերպում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վարում</w:t>
            </w:r>
            <w:proofErr w:type="spellEnd"/>
          </w:p>
        </w:tc>
      </w:tr>
      <w:tr w:rsidR="00981A65" w:rsidRPr="00470257" w14:paraId="1B1194E8" w14:textId="77777777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689C2" w14:textId="77777777" w:rsidR="003C5E15" w:rsidRPr="00981A65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  <w:proofErr w:type="spellEnd"/>
          </w:p>
          <w:p w14:paraId="4A8FB822" w14:textId="77777777" w:rsidR="0043050E" w:rsidRPr="00981A65" w:rsidRDefault="0043050E" w:rsidP="00C659F2">
            <w:pPr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4.1.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Աշխատանքի</w:t>
            </w:r>
            <w:proofErr w:type="spellEnd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կազմակերպման</w:t>
            </w:r>
            <w:proofErr w:type="spellEnd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և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ղեկավարման</w:t>
            </w:r>
            <w:proofErr w:type="spellEnd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պատասխանատվությունը</w:t>
            </w:r>
            <w:proofErr w:type="spellEnd"/>
          </w:p>
          <w:p w14:paraId="0697D655" w14:textId="77777777" w:rsidR="00082CFD" w:rsidRPr="00D70608" w:rsidRDefault="0000101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14:paraId="0A063687" w14:textId="77777777" w:rsidR="0043050E" w:rsidRPr="00981A65" w:rsidRDefault="0043050E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4.2.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Որոշումներ</w:t>
            </w:r>
            <w:proofErr w:type="spellEnd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կայացնելու</w:t>
            </w:r>
            <w:proofErr w:type="spellEnd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լիազորություններ</w:t>
            </w:r>
            <w:proofErr w:type="spellEnd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</w:p>
          <w:p w14:paraId="2B667CA3" w14:textId="77777777" w:rsidR="00082CFD" w:rsidRPr="00981A65" w:rsidRDefault="00082CF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15C83769" w14:textId="77777777" w:rsidR="00082CFD" w:rsidRPr="00981A65" w:rsidRDefault="0000101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Կայացնում է որոշումներ համապատասխան մարմնի կառուցվածքային ստորաբաժանման աշխատանքների կազմակերպման և ղեկավարման </w:t>
            </w:r>
            <w:r w:rsidR="00082CFD" w:rsidRPr="00981A65">
              <w:rPr>
                <w:rFonts w:ascii="GHEA Grapalat" w:hAnsi="GHEA Grapalat"/>
                <w:sz w:val="24"/>
                <w:szCs w:val="24"/>
                <w:lang w:val="hy-AM"/>
              </w:rPr>
              <w:t>շրջանակներում</w:t>
            </w:r>
            <w:r w:rsidR="00082CFD" w:rsidRPr="00981A65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3D02617B" w14:textId="77777777" w:rsidR="00082CFD" w:rsidRPr="00981A65" w:rsidRDefault="00082CF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1F627737" w14:textId="77777777" w:rsidR="004F6F00" w:rsidRPr="00981A65" w:rsidRDefault="0043050E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4.3. Գործունեության ազդեցություն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14:paraId="1F84300E" w14:textId="77777777" w:rsidR="004F6F00" w:rsidRPr="00981A65" w:rsidRDefault="0000101D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</w:t>
            </w:r>
            <w:r w:rsidR="00F6352B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  <w:p w14:paraId="2D344FF8" w14:textId="77777777" w:rsidR="0001064C" w:rsidRPr="00981A65" w:rsidRDefault="0043050E" w:rsidP="00C659F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4.4.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Շփումներ և ներկայացուցչություն</w:t>
            </w:r>
            <w:r w:rsidR="007D607D"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14:paraId="4AECB07D" w14:textId="77777777" w:rsidR="0001064C" w:rsidRPr="00981A65" w:rsidRDefault="0000101D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ստորաբաժանումը: </w:t>
            </w:r>
          </w:p>
          <w:p w14:paraId="753B8B9D" w14:textId="77777777" w:rsidR="0043050E" w:rsidRPr="00981A65" w:rsidRDefault="0043050E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4.5. Խնդիրների բարդությունը և դրանց լուծումը</w:t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14:paraId="08680EEF" w14:textId="77777777" w:rsidR="003C5E15" w:rsidRPr="00981A65" w:rsidRDefault="0000101D" w:rsidP="009B374A">
            <w:pPr>
              <w:spacing w:after="11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</w:t>
            </w:r>
          </w:p>
        </w:tc>
      </w:tr>
    </w:tbl>
    <w:p w14:paraId="0C8A56F6" w14:textId="77777777" w:rsidR="001859CD" w:rsidRPr="00981A65" w:rsidRDefault="001859CD" w:rsidP="00C659F2">
      <w:pPr>
        <w:rPr>
          <w:rFonts w:ascii="GHEA Grapalat" w:hAnsi="GHEA Grapalat"/>
          <w:lang w:val="hy-AM"/>
        </w:rPr>
      </w:pPr>
    </w:p>
    <w:sectPr w:rsidR="001859CD" w:rsidRPr="00981A65" w:rsidSect="00DA5149"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885"/>
    <w:multiLevelType w:val="hybridMultilevel"/>
    <w:tmpl w:val="AB4E6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AF9"/>
    <w:multiLevelType w:val="hybridMultilevel"/>
    <w:tmpl w:val="3918A4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4E91065"/>
    <w:multiLevelType w:val="hybridMultilevel"/>
    <w:tmpl w:val="544AF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424B5"/>
    <w:multiLevelType w:val="hybridMultilevel"/>
    <w:tmpl w:val="C0342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F78A2"/>
    <w:multiLevelType w:val="hybridMultilevel"/>
    <w:tmpl w:val="6F82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63E42"/>
    <w:multiLevelType w:val="hybridMultilevel"/>
    <w:tmpl w:val="33222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85190"/>
    <w:multiLevelType w:val="hybridMultilevel"/>
    <w:tmpl w:val="9074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1276477046">
    <w:abstractNumId w:val="17"/>
  </w:num>
  <w:num w:numId="2" w16cid:durableId="659043513">
    <w:abstractNumId w:val="9"/>
  </w:num>
  <w:num w:numId="3" w16cid:durableId="1490747697">
    <w:abstractNumId w:val="13"/>
  </w:num>
  <w:num w:numId="4" w16cid:durableId="1288437928">
    <w:abstractNumId w:val="11"/>
  </w:num>
  <w:num w:numId="5" w16cid:durableId="1312060864">
    <w:abstractNumId w:val="4"/>
  </w:num>
  <w:num w:numId="6" w16cid:durableId="551699309">
    <w:abstractNumId w:val="8"/>
  </w:num>
  <w:num w:numId="7" w16cid:durableId="2027710632">
    <w:abstractNumId w:val="18"/>
  </w:num>
  <w:num w:numId="8" w16cid:durableId="850029782">
    <w:abstractNumId w:val="10"/>
  </w:num>
  <w:num w:numId="9" w16cid:durableId="18744939">
    <w:abstractNumId w:val="5"/>
  </w:num>
  <w:num w:numId="10" w16cid:durableId="1267277050">
    <w:abstractNumId w:val="3"/>
  </w:num>
  <w:num w:numId="11" w16cid:durableId="1141462176">
    <w:abstractNumId w:val="2"/>
  </w:num>
  <w:num w:numId="12" w16cid:durableId="344942747">
    <w:abstractNumId w:val="12"/>
  </w:num>
  <w:num w:numId="13" w16cid:durableId="698701303">
    <w:abstractNumId w:val="15"/>
  </w:num>
  <w:num w:numId="14" w16cid:durableId="1312828355">
    <w:abstractNumId w:val="7"/>
  </w:num>
  <w:num w:numId="15" w16cid:durableId="1471509762">
    <w:abstractNumId w:val="14"/>
  </w:num>
  <w:num w:numId="16" w16cid:durableId="255286871">
    <w:abstractNumId w:val="1"/>
  </w:num>
  <w:num w:numId="17" w16cid:durableId="1625038645">
    <w:abstractNumId w:val="6"/>
  </w:num>
  <w:num w:numId="18" w16cid:durableId="955136727">
    <w:abstractNumId w:val="0"/>
  </w:num>
  <w:num w:numId="19" w16cid:durableId="1079139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8C0"/>
    <w:rsid w:val="0000101D"/>
    <w:rsid w:val="0001064C"/>
    <w:rsid w:val="00082CFD"/>
    <w:rsid w:val="000937AE"/>
    <w:rsid w:val="000A1D20"/>
    <w:rsid w:val="000A44E5"/>
    <w:rsid w:val="000E6D5F"/>
    <w:rsid w:val="0010100C"/>
    <w:rsid w:val="00107823"/>
    <w:rsid w:val="00110C8B"/>
    <w:rsid w:val="00113C7C"/>
    <w:rsid w:val="001237C6"/>
    <w:rsid w:val="00137515"/>
    <w:rsid w:val="00143524"/>
    <w:rsid w:val="00164C43"/>
    <w:rsid w:val="001859CD"/>
    <w:rsid w:val="001A34A0"/>
    <w:rsid w:val="001F5027"/>
    <w:rsid w:val="001F5D6B"/>
    <w:rsid w:val="00244414"/>
    <w:rsid w:val="00251AF0"/>
    <w:rsid w:val="002741A8"/>
    <w:rsid w:val="002C43D5"/>
    <w:rsid w:val="002E2AF9"/>
    <w:rsid w:val="002F5532"/>
    <w:rsid w:val="00304F42"/>
    <w:rsid w:val="00314347"/>
    <w:rsid w:val="00317CA3"/>
    <w:rsid w:val="00334754"/>
    <w:rsid w:val="00343519"/>
    <w:rsid w:val="00350F02"/>
    <w:rsid w:val="003C5E15"/>
    <w:rsid w:val="003D1668"/>
    <w:rsid w:val="00411E7F"/>
    <w:rsid w:val="00417FCE"/>
    <w:rsid w:val="00425257"/>
    <w:rsid w:val="0043050E"/>
    <w:rsid w:val="00430641"/>
    <w:rsid w:val="00470257"/>
    <w:rsid w:val="00485EEA"/>
    <w:rsid w:val="004973F5"/>
    <w:rsid w:val="0049783D"/>
    <w:rsid w:val="004A1EC6"/>
    <w:rsid w:val="004A2807"/>
    <w:rsid w:val="004D0C63"/>
    <w:rsid w:val="004E48C0"/>
    <w:rsid w:val="004F182B"/>
    <w:rsid w:val="004F6F00"/>
    <w:rsid w:val="00502116"/>
    <w:rsid w:val="00504CE0"/>
    <w:rsid w:val="00520F1A"/>
    <w:rsid w:val="00531B09"/>
    <w:rsid w:val="00544EE3"/>
    <w:rsid w:val="00554281"/>
    <w:rsid w:val="0056188F"/>
    <w:rsid w:val="0056483E"/>
    <w:rsid w:val="00565E31"/>
    <w:rsid w:val="005A576A"/>
    <w:rsid w:val="005D4E53"/>
    <w:rsid w:val="005D5E4D"/>
    <w:rsid w:val="005E02C7"/>
    <w:rsid w:val="00604B11"/>
    <w:rsid w:val="006160B7"/>
    <w:rsid w:val="00624A4D"/>
    <w:rsid w:val="0063708A"/>
    <w:rsid w:val="00697217"/>
    <w:rsid w:val="006A2F26"/>
    <w:rsid w:val="006A54A3"/>
    <w:rsid w:val="006B1D27"/>
    <w:rsid w:val="006D4790"/>
    <w:rsid w:val="00717C67"/>
    <w:rsid w:val="007309D2"/>
    <w:rsid w:val="00735C38"/>
    <w:rsid w:val="00735D06"/>
    <w:rsid w:val="00760F18"/>
    <w:rsid w:val="00775518"/>
    <w:rsid w:val="007A14F0"/>
    <w:rsid w:val="007A17C1"/>
    <w:rsid w:val="007C5CD9"/>
    <w:rsid w:val="007D226A"/>
    <w:rsid w:val="007D607D"/>
    <w:rsid w:val="00802C83"/>
    <w:rsid w:val="00805967"/>
    <w:rsid w:val="00851FCD"/>
    <w:rsid w:val="00893785"/>
    <w:rsid w:val="008A12A6"/>
    <w:rsid w:val="008C0ECB"/>
    <w:rsid w:val="008C7304"/>
    <w:rsid w:val="008D0C59"/>
    <w:rsid w:val="008E696F"/>
    <w:rsid w:val="009050A2"/>
    <w:rsid w:val="00921400"/>
    <w:rsid w:val="009248A6"/>
    <w:rsid w:val="00935C4C"/>
    <w:rsid w:val="0094339A"/>
    <w:rsid w:val="00981A65"/>
    <w:rsid w:val="009B374A"/>
    <w:rsid w:val="009C0129"/>
    <w:rsid w:val="009C5FEA"/>
    <w:rsid w:val="009D0775"/>
    <w:rsid w:val="009F7F62"/>
    <w:rsid w:val="00A30269"/>
    <w:rsid w:val="00A34E80"/>
    <w:rsid w:val="00A47B7E"/>
    <w:rsid w:val="00A77EAE"/>
    <w:rsid w:val="00AA44F3"/>
    <w:rsid w:val="00AA4C3B"/>
    <w:rsid w:val="00AD6EFB"/>
    <w:rsid w:val="00AE2B84"/>
    <w:rsid w:val="00AE50FF"/>
    <w:rsid w:val="00B055F1"/>
    <w:rsid w:val="00B15D1A"/>
    <w:rsid w:val="00B80C7A"/>
    <w:rsid w:val="00BB020C"/>
    <w:rsid w:val="00BC2567"/>
    <w:rsid w:val="00BD423B"/>
    <w:rsid w:val="00BD6928"/>
    <w:rsid w:val="00C0635B"/>
    <w:rsid w:val="00C10B24"/>
    <w:rsid w:val="00C21983"/>
    <w:rsid w:val="00C26ACD"/>
    <w:rsid w:val="00C45438"/>
    <w:rsid w:val="00C61C6B"/>
    <w:rsid w:val="00C659F2"/>
    <w:rsid w:val="00C9375E"/>
    <w:rsid w:val="00CC37A1"/>
    <w:rsid w:val="00CD4B3C"/>
    <w:rsid w:val="00D17BF4"/>
    <w:rsid w:val="00D369C0"/>
    <w:rsid w:val="00D45F52"/>
    <w:rsid w:val="00D50D0B"/>
    <w:rsid w:val="00D67FC5"/>
    <w:rsid w:val="00D70608"/>
    <w:rsid w:val="00D73A58"/>
    <w:rsid w:val="00D94EAE"/>
    <w:rsid w:val="00DA5149"/>
    <w:rsid w:val="00DC29D8"/>
    <w:rsid w:val="00DC5D33"/>
    <w:rsid w:val="00E041FD"/>
    <w:rsid w:val="00E23E3E"/>
    <w:rsid w:val="00E46A55"/>
    <w:rsid w:val="00E541D7"/>
    <w:rsid w:val="00E5541B"/>
    <w:rsid w:val="00E6052F"/>
    <w:rsid w:val="00E64B41"/>
    <w:rsid w:val="00E72386"/>
    <w:rsid w:val="00ED6921"/>
    <w:rsid w:val="00F06EFB"/>
    <w:rsid w:val="00F153B7"/>
    <w:rsid w:val="00F41714"/>
    <w:rsid w:val="00F467ED"/>
    <w:rsid w:val="00F52C21"/>
    <w:rsid w:val="00F55B09"/>
    <w:rsid w:val="00F6352B"/>
    <w:rsid w:val="00FA6A63"/>
    <w:rsid w:val="00FB17E6"/>
    <w:rsid w:val="00F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8919"/>
  <w15:docId w15:val="{1C625962-68F7-4878-8CD2-F83DDC16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E04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F606-ECB5-4E6F-B091-6DF21710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10</Pages>
  <Words>2419</Words>
  <Characters>13794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keywords>https://mul2-fsss.gov.am/tasks/939572/oneclick?token=8a832d6b988d515394d9cbe2eccfcce8</cp:keywords>
  <cp:lastModifiedBy>Rima Gasparyan</cp:lastModifiedBy>
  <cp:revision>191</cp:revision>
  <cp:lastPrinted>2020-03-09T10:57:00Z</cp:lastPrinted>
  <dcterms:created xsi:type="dcterms:W3CDTF">2019-10-16T12:10:00Z</dcterms:created>
  <dcterms:modified xsi:type="dcterms:W3CDTF">2026-05-21T13:11:00Z</dcterms:modified>
</cp:coreProperties>
</file>